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7D" w:rsidRDefault="0051717D" w:rsidP="0057699B">
      <w:pPr>
        <w:overflowPunct/>
        <w:autoSpaceDE/>
        <w:autoSpaceDN/>
        <w:adjustRightInd/>
        <w:spacing w:before="100" w:beforeAutospacing="1" w:after="120" w:line="240" w:lineRule="auto"/>
        <w:textAlignment w:val="auto"/>
        <w:rPr>
          <w:rFonts w:ascii="DecimaWE Rg" w:eastAsiaTheme="minorEastAsia" w:hAnsi="DecimaWE Rg"/>
          <w:sz w:val="24"/>
          <w:szCs w:val="24"/>
          <w:lang w:bidi="ar-SA"/>
        </w:rPr>
      </w:pPr>
      <w:bookmarkStart w:id="0" w:name="_GoBack"/>
      <w:bookmarkEnd w:id="0"/>
      <w:r>
        <w:rPr>
          <w:rFonts w:ascii="DecimaWE Rg" w:hAnsi="DecimaWE Rg"/>
          <w:sz w:val="24"/>
          <w:szCs w:val="24"/>
        </w:rPr>
        <w:t>A</w:t>
      </w:r>
      <w:r w:rsidRPr="001044C5">
        <w:rPr>
          <w:rFonts w:ascii="DecimaWE Rg" w:hAnsi="DecimaWE Rg"/>
          <w:sz w:val="24"/>
          <w:szCs w:val="24"/>
        </w:rPr>
        <w:t xml:space="preserve">UTORITÀ REGIONALI E LOCALI, </w:t>
      </w:r>
      <w:r w:rsidRPr="001044C5">
        <w:rPr>
          <w:rFonts w:ascii="DecimaWE Rg" w:hAnsi="DecimaWE Rg"/>
          <w:i/>
          <w:sz w:val="24"/>
          <w:szCs w:val="24"/>
        </w:rPr>
        <w:t>POLICY-MAKERS</w:t>
      </w:r>
      <w:r w:rsidRPr="001044C5">
        <w:rPr>
          <w:rFonts w:ascii="DecimaWE Rg" w:eastAsiaTheme="minorEastAsia" w:hAnsi="DecimaWE Rg"/>
          <w:sz w:val="24"/>
          <w:szCs w:val="24"/>
          <w:lang w:bidi="ar-SA"/>
        </w:rPr>
        <w:t xml:space="preserve"> </w:t>
      </w:r>
      <w:r>
        <w:rPr>
          <w:rFonts w:ascii="DecimaWE Rg" w:eastAsiaTheme="minorEastAsia" w:hAnsi="DecimaWE Rg"/>
          <w:sz w:val="24"/>
          <w:szCs w:val="24"/>
          <w:lang w:bidi="ar-SA"/>
        </w:rPr>
        <w:t>DELLA SOSTENIBILITÀ</w:t>
      </w:r>
    </w:p>
    <w:p w:rsidR="006D0909" w:rsidRPr="001044C5" w:rsidRDefault="006D0909" w:rsidP="0057699B">
      <w:pPr>
        <w:overflowPunct/>
        <w:autoSpaceDE/>
        <w:autoSpaceDN/>
        <w:adjustRightInd/>
        <w:spacing w:before="100" w:beforeAutospacing="1" w:after="120" w:line="240" w:lineRule="auto"/>
        <w:textAlignment w:val="auto"/>
        <w:rPr>
          <w:rFonts w:ascii="DecimaWE Rg" w:eastAsiaTheme="minorEastAsia" w:hAnsi="DecimaWE Rg"/>
          <w:sz w:val="24"/>
          <w:szCs w:val="24"/>
          <w:lang w:bidi="ar-SA"/>
        </w:rPr>
      </w:pPr>
      <w:r w:rsidRPr="001044C5">
        <w:rPr>
          <w:rFonts w:ascii="DecimaWE Rg" w:eastAsiaTheme="minorEastAsia" w:hAnsi="DecimaWE Rg"/>
          <w:sz w:val="24"/>
          <w:szCs w:val="24"/>
          <w:lang w:bidi="ar-SA"/>
        </w:rPr>
        <w:t>L’Agenda 2030 per lo Sviluppo Sostenibile</w:t>
      </w:r>
      <w:r w:rsidR="001044C5" w:rsidRPr="001044C5">
        <w:rPr>
          <w:rFonts w:ascii="DecimaWE Rg" w:eastAsiaTheme="minorEastAsia" w:hAnsi="DecimaWE Rg"/>
          <w:sz w:val="24"/>
          <w:szCs w:val="24"/>
          <w:lang w:bidi="ar-SA"/>
        </w:rPr>
        <w:t>, ossia</w:t>
      </w:r>
      <w:r w:rsidRPr="001044C5">
        <w:rPr>
          <w:rFonts w:ascii="DecimaWE Rg" w:eastAsiaTheme="minorEastAsia" w:hAnsi="DecimaWE Rg"/>
          <w:sz w:val="24"/>
          <w:szCs w:val="24"/>
          <w:lang w:bidi="ar-SA"/>
        </w:rPr>
        <w:t xml:space="preserve"> </w:t>
      </w:r>
      <w:r w:rsidR="0057699B" w:rsidRPr="001044C5">
        <w:rPr>
          <w:rFonts w:ascii="DecimaWE Rg" w:eastAsiaTheme="minorEastAsia" w:hAnsi="DecimaWE Rg"/>
          <w:sz w:val="24"/>
          <w:szCs w:val="24"/>
          <w:lang w:bidi="ar-SA"/>
        </w:rPr>
        <w:t>il</w:t>
      </w:r>
      <w:r w:rsidRPr="001044C5">
        <w:rPr>
          <w:rFonts w:ascii="DecimaWE Rg" w:eastAsiaTheme="minorEastAsia" w:hAnsi="DecimaWE Rg"/>
          <w:sz w:val="24"/>
          <w:szCs w:val="24"/>
          <w:lang w:bidi="ar-SA"/>
        </w:rPr>
        <w:t xml:space="preserve"> programma d’azione per le persone, il pianeta e la prosperità sottoscritto il 25 settembre 2015 dai govern</w:t>
      </w:r>
      <w:r w:rsidR="0057699B" w:rsidRPr="001044C5">
        <w:rPr>
          <w:rFonts w:ascii="DecimaWE Rg" w:eastAsiaTheme="minorEastAsia" w:hAnsi="DecimaWE Rg"/>
          <w:sz w:val="24"/>
          <w:szCs w:val="24"/>
          <w:lang w:bidi="ar-SA"/>
        </w:rPr>
        <w:t>i dei 193 Paesi membri dell’ONU</w:t>
      </w:r>
      <w:r w:rsidR="001044C5" w:rsidRPr="001044C5">
        <w:rPr>
          <w:rFonts w:ascii="DecimaWE Rg" w:eastAsiaTheme="minorEastAsia" w:hAnsi="DecimaWE Rg"/>
          <w:sz w:val="24"/>
          <w:szCs w:val="24"/>
          <w:lang w:bidi="ar-SA"/>
        </w:rPr>
        <w:t xml:space="preserve">, </w:t>
      </w:r>
      <w:r w:rsidRPr="001044C5">
        <w:rPr>
          <w:rFonts w:ascii="DecimaWE Rg" w:eastAsiaTheme="minorEastAsia" w:hAnsi="DecimaWE Rg"/>
          <w:sz w:val="24"/>
          <w:szCs w:val="24"/>
          <w:lang w:bidi="ar-SA"/>
        </w:rPr>
        <w:t xml:space="preserve"> ingloba 17 Obiettivi per lo Sviluppo Sostenibile - </w:t>
      </w:r>
      <w:hyperlink r:id="rId7" w:tgtFrame="_blank" w:history="1">
        <w:proofErr w:type="spellStart"/>
        <w:r w:rsidRPr="001044C5">
          <w:rPr>
            <w:rFonts w:ascii="DecimaWE Rg" w:eastAsiaTheme="minorEastAsia" w:hAnsi="DecimaWE Rg"/>
            <w:color w:val="0000FF"/>
            <w:sz w:val="24"/>
            <w:szCs w:val="24"/>
            <w:u w:val="single"/>
            <w:lang w:bidi="ar-SA"/>
          </w:rPr>
          <w:t>Sustainable</w:t>
        </w:r>
        <w:proofErr w:type="spellEnd"/>
        <w:r w:rsidRPr="001044C5">
          <w:rPr>
            <w:rFonts w:ascii="DecimaWE Rg" w:eastAsiaTheme="minorEastAsia" w:hAnsi="DecimaWE Rg"/>
            <w:color w:val="0000FF"/>
            <w:sz w:val="24"/>
            <w:szCs w:val="24"/>
            <w:u w:val="single"/>
            <w:lang w:bidi="ar-SA"/>
          </w:rPr>
          <w:t xml:space="preserve"> </w:t>
        </w:r>
        <w:proofErr w:type="spellStart"/>
        <w:r w:rsidRPr="001044C5">
          <w:rPr>
            <w:rFonts w:ascii="DecimaWE Rg" w:eastAsiaTheme="minorEastAsia" w:hAnsi="DecimaWE Rg"/>
            <w:color w:val="0000FF"/>
            <w:sz w:val="24"/>
            <w:szCs w:val="24"/>
            <w:u w:val="single"/>
            <w:lang w:bidi="ar-SA"/>
          </w:rPr>
          <w:t>Development</w:t>
        </w:r>
        <w:proofErr w:type="spellEnd"/>
        <w:r w:rsidRPr="001044C5">
          <w:rPr>
            <w:rFonts w:ascii="DecimaWE Rg" w:eastAsiaTheme="minorEastAsia" w:hAnsi="DecimaWE Rg"/>
            <w:color w:val="0000FF"/>
            <w:sz w:val="24"/>
            <w:szCs w:val="24"/>
            <w:u w:val="single"/>
            <w:lang w:bidi="ar-SA"/>
          </w:rPr>
          <w:t xml:space="preserve"> </w:t>
        </w:r>
        <w:proofErr w:type="spellStart"/>
        <w:r w:rsidRPr="001044C5">
          <w:rPr>
            <w:rFonts w:ascii="DecimaWE Rg" w:eastAsiaTheme="minorEastAsia" w:hAnsi="DecimaWE Rg"/>
            <w:color w:val="0000FF"/>
            <w:sz w:val="24"/>
            <w:szCs w:val="24"/>
            <w:u w:val="single"/>
            <w:lang w:bidi="ar-SA"/>
          </w:rPr>
          <w:t>Goals</w:t>
        </w:r>
        <w:proofErr w:type="spellEnd"/>
        <w:r w:rsidRPr="001044C5">
          <w:rPr>
            <w:rFonts w:ascii="DecimaWE Rg" w:eastAsiaTheme="minorEastAsia" w:hAnsi="DecimaWE Rg"/>
            <w:color w:val="0000FF"/>
            <w:sz w:val="24"/>
            <w:szCs w:val="24"/>
            <w:u w:val="single"/>
            <w:lang w:bidi="ar-SA"/>
          </w:rPr>
          <w:t xml:space="preserve">, </w:t>
        </w:r>
        <w:proofErr w:type="spellStart"/>
        <w:r w:rsidRPr="001044C5">
          <w:rPr>
            <w:rFonts w:ascii="DecimaWE Rg" w:eastAsiaTheme="minorEastAsia" w:hAnsi="DecimaWE Rg"/>
            <w:color w:val="0000FF"/>
            <w:sz w:val="24"/>
            <w:szCs w:val="24"/>
            <w:u w:val="single"/>
            <w:lang w:bidi="ar-SA"/>
          </w:rPr>
          <w:t>SDGs</w:t>
        </w:r>
        <w:proofErr w:type="spellEnd"/>
      </w:hyperlink>
      <w:r w:rsidRPr="001044C5">
        <w:rPr>
          <w:rFonts w:ascii="DecimaWE Rg" w:eastAsiaTheme="minorEastAsia" w:hAnsi="DecimaWE Rg"/>
          <w:sz w:val="24"/>
          <w:szCs w:val="24"/>
          <w:lang w:bidi="ar-SA"/>
        </w:rPr>
        <w:t xml:space="preserve"> </w:t>
      </w:r>
      <w:r w:rsidR="0057699B" w:rsidRPr="001044C5">
        <w:rPr>
          <w:rFonts w:ascii="DecimaWE Rg" w:eastAsiaTheme="minorEastAsia" w:hAnsi="DecimaWE Rg"/>
          <w:sz w:val="24"/>
          <w:szCs w:val="24"/>
          <w:lang w:bidi="ar-SA"/>
        </w:rPr>
        <w:t xml:space="preserve">- </w:t>
      </w:r>
      <w:r w:rsidRPr="001044C5">
        <w:rPr>
          <w:rFonts w:ascii="DecimaWE Rg" w:eastAsiaTheme="minorEastAsia" w:hAnsi="DecimaWE Rg"/>
          <w:sz w:val="24"/>
          <w:szCs w:val="24"/>
          <w:lang w:bidi="ar-SA"/>
        </w:rPr>
        <w:t xml:space="preserve">per un totale di 169 ‘target’ o traguardi. </w:t>
      </w:r>
    </w:p>
    <w:p w:rsidR="006D0909" w:rsidRPr="001044C5" w:rsidRDefault="006D0909" w:rsidP="0057699B">
      <w:pPr>
        <w:overflowPunct/>
        <w:autoSpaceDE/>
        <w:autoSpaceDN/>
        <w:adjustRightInd/>
        <w:spacing w:before="100" w:beforeAutospacing="1" w:after="120" w:line="240" w:lineRule="auto"/>
        <w:textAlignment w:val="auto"/>
        <w:rPr>
          <w:rFonts w:ascii="DecimaWE Rg" w:hAnsi="DecimaWE Rg"/>
          <w:sz w:val="24"/>
          <w:szCs w:val="24"/>
        </w:rPr>
      </w:pPr>
      <w:r w:rsidRPr="001044C5">
        <w:rPr>
          <w:rFonts w:ascii="DecimaWE Rg" w:eastAsiaTheme="minorEastAsia" w:hAnsi="DecimaWE Rg"/>
          <w:sz w:val="24"/>
          <w:szCs w:val="24"/>
          <w:lang w:bidi="ar-SA"/>
        </w:rPr>
        <w:t xml:space="preserve">La Commissione europea ha aderito a questo programma d’azione incrociando i 17 Obiettivi dell’Agenda 2030 con le 10 priorità del proprio programma di lavoro in una Comunicazione </w:t>
      </w:r>
      <w:r w:rsidRPr="001044C5">
        <w:rPr>
          <w:rFonts w:ascii="DecimaWE Rg" w:hAnsi="DecimaWE Rg"/>
          <w:sz w:val="24"/>
          <w:szCs w:val="24"/>
        </w:rPr>
        <w:t xml:space="preserve">al Parlamento europeo, al Consiglio, al Comitato economico e sociale europeo e al Comitato delle regioni dal titolo “Il futuro sostenibile dell'Europa: prossime tappe - L'azione europea a favore della sostenibilità” </w:t>
      </w:r>
      <w:r w:rsidR="0057699B" w:rsidRPr="001044C5">
        <w:rPr>
          <w:rFonts w:ascii="DecimaWE Rg" w:hAnsi="DecimaWE Rg"/>
          <w:sz w:val="24"/>
          <w:szCs w:val="24"/>
        </w:rPr>
        <w:t xml:space="preserve"> - </w:t>
      </w:r>
      <w:r w:rsidRPr="001044C5">
        <w:rPr>
          <w:rFonts w:ascii="DecimaWE Rg" w:hAnsi="DecimaWE Rg"/>
          <w:sz w:val="24"/>
          <w:szCs w:val="24"/>
        </w:rPr>
        <w:t xml:space="preserve">COM(2016) 739 </w:t>
      </w:r>
      <w:proofErr w:type="spellStart"/>
      <w:r w:rsidRPr="001044C5">
        <w:rPr>
          <w:rFonts w:ascii="DecimaWE Rg" w:hAnsi="DecimaWE Rg"/>
          <w:sz w:val="24"/>
          <w:szCs w:val="24"/>
        </w:rPr>
        <w:t>final</w:t>
      </w:r>
      <w:proofErr w:type="spellEnd"/>
      <w:r w:rsidRPr="001044C5">
        <w:rPr>
          <w:rFonts w:ascii="DecimaWE Rg" w:hAnsi="DecimaWE Rg"/>
          <w:sz w:val="24"/>
          <w:szCs w:val="24"/>
        </w:rPr>
        <w:t>.</w:t>
      </w:r>
    </w:p>
    <w:p w:rsidR="006D0909" w:rsidRPr="001044C5" w:rsidRDefault="006D0909" w:rsidP="0057699B">
      <w:pPr>
        <w:overflowPunct/>
        <w:autoSpaceDE/>
        <w:autoSpaceDN/>
        <w:adjustRightInd/>
        <w:spacing w:before="100" w:beforeAutospacing="1" w:after="120" w:line="240" w:lineRule="auto"/>
        <w:textAlignment w:val="auto"/>
        <w:rPr>
          <w:rFonts w:ascii="DecimaWE Rg" w:hAnsi="DecimaWE Rg"/>
          <w:sz w:val="24"/>
          <w:szCs w:val="24"/>
        </w:rPr>
      </w:pPr>
      <w:r w:rsidRPr="001044C5">
        <w:rPr>
          <w:rFonts w:ascii="DecimaWE Rg" w:hAnsi="DecimaWE Rg"/>
          <w:sz w:val="24"/>
          <w:szCs w:val="24"/>
        </w:rPr>
        <w:t>Ad accompagnare la Comunicazione della Commissione</w:t>
      </w:r>
      <w:r w:rsidR="001044C5" w:rsidRPr="001044C5">
        <w:rPr>
          <w:rFonts w:ascii="DecimaWE Rg" w:hAnsi="DecimaWE Rg"/>
          <w:sz w:val="24"/>
          <w:szCs w:val="24"/>
        </w:rPr>
        <w:t>,</w:t>
      </w:r>
      <w:r w:rsidRPr="001044C5">
        <w:rPr>
          <w:rFonts w:ascii="DecimaWE Rg" w:hAnsi="DecimaWE Rg"/>
          <w:sz w:val="24"/>
          <w:szCs w:val="24"/>
        </w:rPr>
        <w:t xml:space="preserve"> </w:t>
      </w:r>
      <w:r w:rsidR="0051717D">
        <w:rPr>
          <w:rFonts w:ascii="DecimaWE Rg" w:hAnsi="DecimaWE Rg"/>
          <w:sz w:val="24"/>
          <w:szCs w:val="24"/>
        </w:rPr>
        <w:t>il</w:t>
      </w:r>
      <w:r w:rsidRPr="001044C5">
        <w:rPr>
          <w:rFonts w:ascii="DecimaWE Rg" w:hAnsi="DecimaWE Rg"/>
          <w:sz w:val="24"/>
          <w:szCs w:val="24"/>
        </w:rPr>
        <w:t xml:space="preserve"> Documento di lavoro </w:t>
      </w:r>
      <w:r w:rsidR="0051717D">
        <w:rPr>
          <w:rFonts w:ascii="DecimaWE Rg" w:hAnsi="DecimaWE Rg"/>
          <w:sz w:val="24"/>
          <w:szCs w:val="24"/>
        </w:rPr>
        <w:t xml:space="preserve"> -  </w:t>
      </w:r>
      <w:r w:rsidRPr="001044C5">
        <w:rPr>
          <w:rFonts w:ascii="DecimaWE Rg" w:hAnsi="DecimaWE Rg"/>
          <w:i/>
          <w:sz w:val="24"/>
          <w:szCs w:val="24"/>
        </w:rPr>
        <w:t xml:space="preserve">Key </w:t>
      </w:r>
      <w:proofErr w:type="spellStart"/>
      <w:r w:rsidRPr="001044C5">
        <w:rPr>
          <w:rFonts w:ascii="DecimaWE Rg" w:hAnsi="DecimaWE Rg"/>
          <w:i/>
          <w:sz w:val="24"/>
          <w:szCs w:val="24"/>
        </w:rPr>
        <w:t>European</w:t>
      </w:r>
      <w:proofErr w:type="spellEnd"/>
      <w:r w:rsidRPr="001044C5">
        <w:rPr>
          <w:rFonts w:ascii="DecimaWE Rg" w:hAnsi="DecimaWE Rg"/>
          <w:i/>
          <w:sz w:val="24"/>
          <w:szCs w:val="24"/>
        </w:rPr>
        <w:t xml:space="preserve"> </w:t>
      </w:r>
      <w:proofErr w:type="spellStart"/>
      <w:r w:rsidRPr="001044C5">
        <w:rPr>
          <w:rFonts w:ascii="DecimaWE Rg" w:hAnsi="DecimaWE Rg"/>
          <w:i/>
          <w:sz w:val="24"/>
          <w:szCs w:val="24"/>
        </w:rPr>
        <w:t>action</w:t>
      </w:r>
      <w:proofErr w:type="spellEnd"/>
      <w:r w:rsidRPr="001044C5">
        <w:rPr>
          <w:rFonts w:ascii="DecimaWE Rg" w:hAnsi="DecimaWE Rg"/>
          <w:i/>
          <w:sz w:val="24"/>
          <w:szCs w:val="24"/>
        </w:rPr>
        <w:t xml:space="preserve"> </w:t>
      </w:r>
      <w:proofErr w:type="spellStart"/>
      <w:r w:rsidRPr="001044C5">
        <w:rPr>
          <w:rFonts w:ascii="DecimaWE Rg" w:hAnsi="DecimaWE Rg"/>
          <w:i/>
          <w:sz w:val="24"/>
          <w:szCs w:val="24"/>
        </w:rPr>
        <w:t>supporting</w:t>
      </w:r>
      <w:proofErr w:type="spellEnd"/>
      <w:r w:rsidRPr="001044C5">
        <w:rPr>
          <w:rFonts w:ascii="DecimaWE Rg" w:hAnsi="DecimaWE Rg"/>
          <w:i/>
          <w:sz w:val="24"/>
          <w:szCs w:val="24"/>
        </w:rPr>
        <w:t xml:space="preserve"> the 2030 Agenda and the </w:t>
      </w:r>
      <w:proofErr w:type="spellStart"/>
      <w:r w:rsidRPr="001044C5">
        <w:rPr>
          <w:rFonts w:ascii="DecimaWE Rg" w:hAnsi="DecimaWE Rg"/>
          <w:i/>
          <w:sz w:val="24"/>
          <w:szCs w:val="24"/>
        </w:rPr>
        <w:t>Sustainable</w:t>
      </w:r>
      <w:proofErr w:type="spellEnd"/>
      <w:r w:rsidRPr="001044C5">
        <w:rPr>
          <w:rFonts w:ascii="DecimaWE Rg" w:hAnsi="DecimaWE Rg"/>
          <w:i/>
          <w:sz w:val="24"/>
          <w:szCs w:val="24"/>
        </w:rPr>
        <w:t xml:space="preserve"> </w:t>
      </w:r>
      <w:proofErr w:type="spellStart"/>
      <w:r w:rsidRPr="001044C5">
        <w:rPr>
          <w:rFonts w:ascii="DecimaWE Rg" w:hAnsi="DecimaWE Rg"/>
          <w:i/>
          <w:sz w:val="24"/>
          <w:szCs w:val="24"/>
        </w:rPr>
        <w:t>Development</w:t>
      </w:r>
      <w:proofErr w:type="spellEnd"/>
      <w:r w:rsidRPr="001044C5">
        <w:rPr>
          <w:rFonts w:ascii="DecimaWE Rg" w:hAnsi="DecimaWE Rg"/>
          <w:i/>
          <w:sz w:val="24"/>
          <w:szCs w:val="24"/>
        </w:rPr>
        <w:t xml:space="preserve"> </w:t>
      </w:r>
      <w:proofErr w:type="spellStart"/>
      <w:r w:rsidRPr="001044C5">
        <w:rPr>
          <w:rFonts w:ascii="DecimaWE Rg" w:hAnsi="DecimaWE Rg"/>
          <w:i/>
          <w:sz w:val="24"/>
          <w:szCs w:val="24"/>
        </w:rPr>
        <w:t>Goals</w:t>
      </w:r>
      <w:proofErr w:type="spellEnd"/>
      <w:r w:rsidRPr="001044C5">
        <w:rPr>
          <w:rFonts w:ascii="DecimaWE Rg" w:hAnsi="DecimaWE Rg"/>
          <w:i/>
          <w:sz w:val="24"/>
          <w:szCs w:val="24"/>
        </w:rPr>
        <w:t xml:space="preserve"> </w:t>
      </w:r>
      <w:r w:rsidR="0051717D">
        <w:rPr>
          <w:rFonts w:ascii="DecimaWE Rg" w:hAnsi="DecimaWE Rg"/>
          <w:i/>
          <w:sz w:val="24"/>
          <w:szCs w:val="24"/>
        </w:rPr>
        <w:t xml:space="preserve"> SWD (2016) 390 </w:t>
      </w:r>
      <w:proofErr w:type="spellStart"/>
      <w:r w:rsidR="0051717D">
        <w:rPr>
          <w:rFonts w:ascii="DecimaWE Rg" w:hAnsi="DecimaWE Rg"/>
          <w:i/>
          <w:sz w:val="24"/>
          <w:szCs w:val="24"/>
        </w:rPr>
        <w:t>final</w:t>
      </w:r>
      <w:proofErr w:type="spellEnd"/>
      <w:r w:rsidRPr="001044C5">
        <w:rPr>
          <w:rFonts w:ascii="DecimaWE Rg" w:hAnsi="DecimaWE Rg"/>
          <w:i/>
          <w:sz w:val="24"/>
          <w:szCs w:val="24"/>
        </w:rPr>
        <w:t xml:space="preserve"> </w:t>
      </w:r>
      <w:r w:rsidR="0051717D">
        <w:rPr>
          <w:rFonts w:ascii="DecimaWE Rg" w:hAnsi="DecimaWE Rg"/>
          <w:i/>
          <w:sz w:val="24"/>
          <w:szCs w:val="24"/>
        </w:rPr>
        <w:t xml:space="preserve"> - </w:t>
      </w:r>
      <w:r w:rsidRPr="001044C5">
        <w:rPr>
          <w:rFonts w:ascii="DecimaWE Rg" w:hAnsi="DecimaWE Rg"/>
          <w:sz w:val="24"/>
          <w:szCs w:val="24"/>
        </w:rPr>
        <w:t>declina, per ciascuna priorità, gli obiettivi in azioni.</w:t>
      </w:r>
    </w:p>
    <w:p w:rsidR="00117EEF" w:rsidRDefault="00260447" w:rsidP="0057699B">
      <w:pPr>
        <w:overflowPunct/>
        <w:autoSpaceDE/>
        <w:autoSpaceDN/>
        <w:adjustRightInd/>
        <w:spacing w:before="100" w:beforeAutospacing="1" w:after="120" w:line="240" w:lineRule="auto"/>
        <w:textAlignment w:val="auto"/>
        <w:rPr>
          <w:rFonts w:ascii="DecimaWE Rg" w:hAnsi="DecimaWE Rg"/>
          <w:sz w:val="24"/>
          <w:szCs w:val="24"/>
        </w:rPr>
      </w:pPr>
      <w:r w:rsidRPr="001044C5">
        <w:rPr>
          <w:rFonts w:ascii="DecimaWE Rg" w:hAnsi="DecimaWE Rg"/>
          <w:sz w:val="24"/>
          <w:szCs w:val="24"/>
        </w:rPr>
        <w:t xml:space="preserve">Il dato che emerge è che </w:t>
      </w:r>
      <w:r w:rsidR="00117EEF" w:rsidRPr="001044C5">
        <w:rPr>
          <w:rFonts w:ascii="DecimaWE Rg" w:hAnsi="DecimaWE Rg"/>
          <w:sz w:val="24"/>
          <w:szCs w:val="24"/>
        </w:rPr>
        <w:t>tutti gli obiettivi dell’Agenda 2030 richiedono, per essere realizzati, di essere declinati a livello territoriale</w:t>
      </w:r>
      <w:r w:rsidR="0057699B" w:rsidRPr="001044C5">
        <w:rPr>
          <w:rFonts w:ascii="DecimaWE Rg" w:hAnsi="DecimaWE Rg"/>
          <w:sz w:val="24"/>
          <w:szCs w:val="24"/>
        </w:rPr>
        <w:t xml:space="preserve">, nella logica della sussidiarietà e della </w:t>
      </w:r>
      <w:proofErr w:type="spellStart"/>
      <w:r w:rsidR="0057699B" w:rsidRPr="001044C5">
        <w:rPr>
          <w:rFonts w:ascii="DecimaWE Rg" w:hAnsi="DecimaWE Rg"/>
          <w:i/>
          <w:sz w:val="24"/>
          <w:szCs w:val="24"/>
        </w:rPr>
        <w:t>multilevel</w:t>
      </w:r>
      <w:proofErr w:type="spellEnd"/>
      <w:r w:rsidR="0057699B" w:rsidRPr="001044C5">
        <w:rPr>
          <w:rFonts w:ascii="DecimaWE Rg" w:hAnsi="DecimaWE Rg"/>
          <w:i/>
          <w:sz w:val="24"/>
          <w:szCs w:val="24"/>
        </w:rPr>
        <w:t xml:space="preserve"> </w:t>
      </w:r>
      <w:proofErr w:type="spellStart"/>
      <w:r w:rsidR="0057699B" w:rsidRPr="001044C5">
        <w:rPr>
          <w:rFonts w:ascii="DecimaWE Rg" w:hAnsi="DecimaWE Rg"/>
          <w:i/>
          <w:sz w:val="24"/>
          <w:szCs w:val="24"/>
        </w:rPr>
        <w:t>governance</w:t>
      </w:r>
      <w:proofErr w:type="spellEnd"/>
      <w:r w:rsidR="00117EEF" w:rsidRPr="001044C5">
        <w:rPr>
          <w:rFonts w:ascii="DecimaWE Rg" w:hAnsi="DecimaWE Rg"/>
          <w:sz w:val="24"/>
          <w:szCs w:val="24"/>
        </w:rPr>
        <w:t xml:space="preserve">: questo rende necessario l’apporto delle autorità regionali e locali, veri e propri </w:t>
      </w:r>
      <w:proofErr w:type="spellStart"/>
      <w:r w:rsidR="00117EEF" w:rsidRPr="001044C5">
        <w:rPr>
          <w:rFonts w:ascii="DecimaWE Rg" w:hAnsi="DecimaWE Rg"/>
          <w:i/>
          <w:sz w:val="24"/>
          <w:szCs w:val="24"/>
        </w:rPr>
        <w:t>policy-makers</w:t>
      </w:r>
      <w:proofErr w:type="spellEnd"/>
      <w:r w:rsidR="00117EEF" w:rsidRPr="001044C5">
        <w:rPr>
          <w:rFonts w:ascii="DecimaWE Rg" w:hAnsi="DecimaWE Rg"/>
          <w:sz w:val="24"/>
          <w:szCs w:val="24"/>
        </w:rPr>
        <w:t xml:space="preserve">, chiamati a definire </w:t>
      </w:r>
      <w:r w:rsidR="00F24235" w:rsidRPr="001044C5">
        <w:rPr>
          <w:rFonts w:ascii="DecimaWE Rg" w:hAnsi="DecimaWE Rg"/>
          <w:sz w:val="24"/>
          <w:szCs w:val="24"/>
        </w:rPr>
        <w:t xml:space="preserve">i </w:t>
      </w:r>
      <w:r w:rsidR="00117EEF" w:rsidRPr="001044C5">
        <w:rPr>
          <w:rFonts w:ascii="DecimaWE Rg" w:hAnsi="DecimaWE Rg"/>
          <w:sz w:val="24"/>
          <w:szCs w:val="24"/>
        </w:rPr>
        <w:t>livelli e metodi di governo più appropriati per collegare gli obiettivi dell'UE e delle Nazioni Unite a quelli delle comunità locali.</w:t>
      </w:r>
    </w:p>
    <w:p w:rsidR="001044C5" w:rsidRDefault="001044C5" w:rsidP="001044C5">
      <w:pPr>
        <w:overflowPunct/>
        <w:autoSpaceDE/>
        <w:autoSpaceDN/>
        <w:adjustRightInd/>
        <w:spacing w:before="100" w:beforeAutospacing="1" w:after="120" w:line="240" w:lineRule="auto"/>
        <w:textAlignment w:val="auto"/>
        <w:rPr>
          <w:rFonts w:ascii="DecimaWE Rg" w:hAnsi="DecimaWE Rg"/>
          <w:sz w:val="24"/>
          <w:szCs w:val="24"/>
        </w:rPr>
      </w:pPr>
      <w:r>
        <w:rPr>
          <w:rFonts w:ascii="DecimaWE Rg" w:hAnsi="DecimaWE Rg"/>
          <w:sz w:val="24"/>
          <w:szCs w:val="24"/>
        </w:rPr>
        <w:t>T</w:t>
      </w:r>
      <w:r w:rsidRPr="001044C5">
        <w:rPr>
          <w:rFonts w:ascii="DecimaWE Rg" w:hAnsi="DecimaWE Rg"/>
          <w:sz w:val="24"/>
          <w:szCs w:val="24"/>
        </w:rPr>
        <w:t xml:space="preserve">emi apparentemente globali, come l’attuazione delle decisioni di </w:t>
      </w:r>
      <w:proofErr w:type="spellStart"/>
      <w:r w:rsidRPr="001044C5">
        <w:rPr>
          <w:rFonts w:ascii="DecimaWE Rg" w:hAnsi="DecimaWE Rg"/>
          <w:sz w:val="24"/>
          <w:szCs w:val="24"/>
        </w:rPr>
        <w:t>Cop</w:t>
      </w:r>
      <w:proofErr w:type="spellEnd"/>
      <w:r w:rsidRPr="001044C5">
        <w:rPr>
          <w:rFonts w:ascii="DecimaWE Rg" w:hAnsi="DecimaWE Rg"/>
          <w:sz w:val="24"/>
          <w:szCs w:val="24"/>
        </w:rPr>
        <w:t xml:space="preserve"> 21, i cambiamenti climatici, la riduzione di CO2, il risparmio energetico, la produzione di energia da fonti rinnovabili, il trasporto integrato e l’economia circolare </w:t>
      </w:r>
      <w:r>
        <w:rPr>
          <w:rFonts w:ascii="DecimaWE Rg" w:hAnsi="DecimaWE Rg"/>
          <w:sz w:val="24"/>
          <w:szCs w:val="24"/>
        </w:rPr>
        <w:t>sono</w:t>
      </w:r>
      <w:r w:rsidRPr="001044C5">
        <w:rPr>
          <w:rFonts w:ascii="DecimaWE Rg" w:hAnsi="DecimaWE Rg"/>
          <w:sz w:val="24"/>
          <w:szCs w:val="24"/>
        </w:rPr>
        <w:t xml:space="preserve"> in realtà condizionati da politiche ed azioni locali. </w:t>
      </w:r>
    </w:p>
    <w:p w:rsidR="00C32125" w:rsidRPr="0051717D" w:rsidRDefault="00C32125" w:rsidP="00C32125">
      <w:pPr>
        <w:overflowPunct/>
        <w:autoSpaceDE/>
        <w:autoSpaceDN/>
        <w:adjustRightInd/>
        <w:spacing w:before="100" w:beforeAutospacing="1" w:after="120" w:line="240" w:lineRule="auto"/>
        <w:textAlignment w:val="auto"/>
        <w:rPr>
          <w:rFonts w:ascii="DecimaWE Rg" w:hAnsi="DecimaWE Rg"/>
          <w:sz w:val="24"/>
          <w:szCs w:val="24"/>
        </w:rPr>
      </w:pPr>
      <w:r w:rsidRPr="0051717D">
        <w:rPr>
          <w:rFonts w:ascii="DecimaWE Rg" w:hAnsi="DecimaWE Rg"/>
          <w:sz w:val="24"/>
          <w:szCs w:val="24"/>
        </w:rPr>
        <w:t>Si pensi, ad esempio, agli obiettivi 7 (Energia pulita ed accessibile) e 13 (l’azione per il clima), ove le LRA sono sia destinatarie sia attrici delle politiche volte al contrasto dei cambiamenti climatici, nonché ad un approvvigionamento energetico sostenibile e aperto a tutti, per il quale il sistema delle LRA esercita competenze importanti, soprattutto in relazione ai costi di transizione all'Europa sostenibile; infatti l’insostenibilità di tali costi metterebbe a rischio la sostenibilità globale e più in generale la durata degli OSS.</w:t>
      </w:r>
    </w:p>
    <w:p w:rsidR="00C32125" w:rsidRPr="0051717D" w:rsidRDefault="00C32125" w:rsidP="00C32125">
      <w:pPr>
        <w:overflowPunct/>
        <w:autoSpaceDE/>
        <w:autoSpaceDN/>
        <w:adjustRightInd/>
        <w:spacing w:before="100" w:beforeAutospacing="1" w:after="120" w:line="240" w:lineRule="auto"/>
        <w:textAlignment w:val="auto"/>
        <w:rPr>
          <w:rFonts w:ascii="DecimaWE Rg" w:hAnsi="DecimaWE Rg"/>
          <w:sz w:val="24"/>
          <w:szCs w:val="24"/>
        </w:rPr>
      </w:pPr>
      <w:r w:rsidRPr="0051717D">
        <w:rPr>
          <w:rFonts w:ascii="DecimaWE Rg" w:hAnsi="DecimaWE Rg"/>
          <w:sz w:val="24"/>
          <w:szCs w:val="24"/>
        </w:rPr>
        <w:t xml:space="preserve">Vi sono poi importanti priorità che toccano trasversalmente molti obiettivi strategici, che parimenti richiedono un esercizio integrato di competenze fra i diversi livelli di governo: fra queste l'Agenda Urbana, l'inclusione sociale, le politiche dell'Unione per energia e clima, la riduzione delle emissioni, le politiche ambientali e l'economia circolare, la mobilità, la specializzazione intelligente, le </w:t>
      </w:r>
      <w:proofErr w:type="spellStart"/>
      <w:r w:rsidRPr="00F6791A">
        <w:rPr>
          <w:rFonts w:ascii="DecimaWE Rg" w:hAnsi="DecimaWE Rg"/>
          <w:i/>
          <w:sz w:val="24"/>
          <w:szCs w:val="24"/>
        </w:rPr>
        <w:t>smart</w:t>
      </w:r>
      <w:proofErr w:type="spellEnd"/>
      <w:r w:rsidRPr="00F6791A">
        <w:rPr>
          <w:rFonts w:ascii="DecimaWE Rg" w:hAnsi="DecimaWE Rg"/>
          <w:i/>
          <w:sz w:val="24"/>
          <w:szCs w:val="24"/>
        </w:rPr>
        <w:t xml:space="preserve"> </w:t>
      </w:r>
      <w:proofErr w:type="spellStart"/>
      <w:r w:rsidRPr="00F6791A">
        <w:rPr>
          <w:rFonts w:ascii="DecimaWE Rg" w:hAnsi="DecimaWE Rg"/>
          <w:i/>
          <w:sz w:val="24"/>
          <w:szCs w:val="24"/>
        </w:rPr>
        <w:t>cities</w:t>
      </w:r>
      <w:proofErr w:type="spellEnd"/>
      <w:r w:rsidRPr="00F6791A">
        <w:rPr>
          <w:rFonts w:ascii="DecimaWE Rg" w:hAnsi="DecimaWE Rg"/>
          <w:i/>
          <w:sz w:val="24"/>
          <w:szCs w:val="24"/>
        </w:rPr>
        <w:t xml:space="preserve"> (</w:t>
      </w:r>
      <w:proofErr w:type="spellStart"/>
      <w:r w:rsidRPr="00F6791A">
        <w:rPr>
          <w:rFonts w:ascii="DecimaWE Rg" w:hAnsi="DecimaWE Rg"/>
          <w:i/>
          <w:sz w:val="24"/>
          <w:szCs w:val="24"/>
        </w:rPr>
        <w:t>smart</w:t>
      </w:r>
      <w:proofErr w:type="spellEnd"/>
      <w:r w:rsidRPr="00F6791A">
        <w:rPr>
          <w:rFonts w:ascii="DecimaWE Rg" w:hAnsi="DecimaWE Rg"/>
          <w:i/>
          <w:sz w:val="24"/>
          <w:szCs w:val="24"/>
        </w:rPr>
        <w:t xml:space="preserve"> </w:t>
      </w:r>
      <w:proofErr w:type="spellStart"/>
      <w:r w:rsidRPr="00F6791A">
        <w:rPr>
          <w:rFonts w:ascii="DecimaWE Rg" w:hAnsi="DecimaWE Rg"/>
          <w:i/>
          <w:sz w:val="24"/>
          <w:szCs w:val="24"/>
        </w:rPr>
        <w:t>land</w:t>
      </w:r>
      <w:proofErr w:type="spellEnd"/>
      <w:r w:rsidRPr="0051717D">
        <w:rPr>
          <w:rFonts w:ascii="DecimaWE Rg" w:hAnsi="DecimaWE Rg"/>
          <w:sz w:val="24"/>
          <w:szCs w:val="24"/>
        </w:rPr>
        <w:t>) oggetto del vertice di Bratislava e il Patto dei Sindaci sul clima e l'energia.</w:t>
      </w:r>
    </w:p>
    <w:p w:rsidR="00C32125" w:rsidRPr="0051717D" w:rsidRDefault="00C32125" w:rsidP="00C32125">
      <w:pPr>
        <w:overflowPunct/>
        <w:autoSpaceDE/>
        <w:autoSpaceDN/>
        <w:adjustRightInd/>
        <w:spacing w:before="100" w:beforeAutospacing="1" w:after="120" w:line="240" w:lineRule="auto"/>
        <w:textAlignment w:val="auto"/>
        <w:rPr>
          <w:rFonts w:ascii="DecimaWE Rg" w:hAnsi="DecimaWE Rg"/>
          <w:sz w:val="24"/>
          <w:szCs w:val="24"/>
        </w:rPr>
      </w:pPr>
      <w:r w:rsidRPr="0051717D">
        <w:rPr>
          <w:rFonts w:ascii="DecimaWE Rg" w:hAnsi="DecimaWE Rg"/>
          <w:sz w:val="24"/>
          <w:szCs w:val="24"/>
        </w:rPr>
        <w:t xml:space="preserve">E’ pertanto necessario che le LRA siano protagoniste delle </w:t>
      </w:r>
      <w:proofErr w:type="spellStart"/>
      <w:r w:rsidRPr="00F6791A">
        <w:rPr>
          <w:rFonts w:ascii="DecimaWE Rg" w:hAnsi="DecimaWE Rg"/>
          <w:i/>
          <w:sz w:val="24"/>
          <w:szCs w:val="24"/>
        </w:rPr>
        <w:t>policies</w:t>
      </w:r>
      <w:proofErr w:type="spellEnd"/>
      <w:r w:rsidRPr="0051717D">
        <w:rPr>
          <w:rFonts w:ascii="DecimaWE Rg" w:hAnsi="DecimaWE Rg"/>
          <w:sz w:val="24"/>
          <w:szCs w:val="24"/>
        </w:rPr>
        <w:t xml:space="preserve"> vista la loro vicinanza ai cittadini e la capacità di contribuire a riaccendere il consenso nei confronti delle istituzioni europee e del progetto di integrazione. La sussidiarietà rappresenta la soluzione ottimale per le politiche indirizzate a costruire un futuro sostenibile e ad integrare le 10 priorità della CE, gli 11 obiettivi tematici dei Fondi di coesione e i 17 OSS dell'Agenda 2030.</w:t>
      </w:r>
    </w:p>
    <w:p w:rsidR="001044C5" w:rsidRPr="001044C5" w:rsidRDefault="001044C5" w:rsidP="001044C5">
      <w:pPr>
        <w:overflowPunct/>
        <w:autoSpaceDE/>
        <w:autoSpaceDN/>
        <w:adjustRightInd/>
        <w:spacing w:before="100" w:beforeAutospacing="1" w:after="120" w:line="240" w:lineRule="auto"/>
        <w:textAlignment w:val="auto"/>
        <w:rPr>
          <w:rFonts w:ascii="DecimaWE Rg" w:hAnsi="DecimaWE Rg"/>
          <w:sz w:val="24"/>
          <w:szCs w:val="24"/>
        </w:rPr>
      </w:pPr>
      <w:r w:rsidRPr="001044C5">
        <w:rPr>
          <w:rFonts w:ascii="DecimaWE Rg" w:hAnsi="DecimaWE Rg"/>
          <w:sz w:val="24"/>
          <w:szCs w:val="24"/>
        </w:rPr>
        <w:t xml:space="preserve">Vista la pluralità di settori coinvolti, occorre dedicare maggiore attenzione ai problemi che i territori devono affrontare. Le soluzioni proposte necessitano dell’adozione di un approccio </w:t>
      </w:r>
      <w:r w:rsidRPr="001044C5">
        <w:rPr>
          <w:rFonts w:ascii="DecimaWE Rg" w:hAnsi="DecimaWE Rg"/>
          <w:sz w:val="24"/>
          <w:szCs w:val="24"/>
        </w:rPr>
        <w:lastRenderedPageBreak/>
        <w:t xml:space="preserve">integrato e cooperativo fra le varie autorità e gli </w:t>
      </w:r>
      <w:proofErr w:type="spellStart"/>
      <w:r w:rsidRPr="00F6791A">
        <w:rPr>
          <w:rFonts w:ascii="DecimaWE Rg" w:hAnsi="DecimaWE Rg"/>
          <w:i/>
          <w:sz w:val="24"/>
          <w:szCs w:val="24"/>
        </w:rPr>
        <w:t>stakeholders</w:t>
      </w:r>
      <w:proofErr w:type="spellEnd"/>
      <w:r w:rsidRPr="001044C5">
        <w:rPr>
          <w:rFonts w:ascii="DecimaWE Rg" w:hAnsi="DecimaWE Rg"/>
          <w:sz w:val="24"/>
          <w:szCs w:val="24"/>
        </w:rPr>
        <w:t xml:space="preserve"> ambientali interessati. A questo riguardo il concetto di coesione getta dei ponti fra efficienza economica, coesione sociale, sviluppo culturale ed equilibrio ambientale, ponendo lo sviluppo sostenibile al centro dell’elaborazione politica.</w:t>
      </w:r>
    </w:p>
    <w:p w:rsidR="001044C5" w:rsidRPr="00E82CB4" w:rsidRDefault="001044C5" w:rsidP="00E82CB4">
      <w:pPr>
        <w:overflowPunct/>
        <w:autoSpaceDE/>
        <w:autoSpaceDN/>
        <w:adjustRightInd/>
        <w:spacing w:before="100" w:beforeAutospacing="1" w:after="120" w:line="240" w:lineRule="auto"/>
        <w:textAlignment w:val="auto"/>
        <w:rPr>
          <w:rFonts w:ascii="DecimaWE Rg" w:hAnsi="DecimaWE Rg"/>
          <w:sz w:val="24"/>
          <w:szCs w:val="24"/>
        </w:rPr>
      </w:pPr>
      <w:r w:rsidRPr="00E82CB4">
        <w:rPr>
          <w:rFonts w:ascii="DecimaWE Rg" w:hAnsi="DecimaWE Rg"/>
          <w:sz w:val="24"/>
          <w:szCs w:val="24"/>
        </w:rPr>
        <w:t xml:space="preserve">Gli </w:t>
      </w:r>
      <w:r w:rsidR="0051717D">
        <w:rPr>
          <w:rFonts w:ascii="DecimaWE Rg" w:hAnsi="DecimaWE Rg"/>
          <w:sz w:val="24"/>
          <w:szCs w:val="24"/>
        </w:rPr>
        <w:t>OSS</w:t>
      </w:r>
      <w:r w:rsidRPr="00E82CB4">
        <w:rPr>
          <w:rFonts w:ascii="DecimaWE Rg" w:hAnsi="DecimaWE Rg"/>
          <w:sz w:val="24"/>
          <w:szCs w:val="24"/>
        </w:rPr>
        <w:t xml:space="preserve"> che </w:t>
      </w:r>
      <w:r w:rsidR="00F6791A">
        <w:rPr>
          <w:rFonts w:ascii="DecimaWE Rg" w:hAnsi="DecimaWE Rg"/>
          <w:sz w:val="24"/>
          <w:szCs w:val="24"/>
        </w:rPr>
        <w:t>contemplano</w:t>
      </w:r>
      <w:r w:rsidRPr="00E82CB4">
        <w:rPr>
          <w:rFonts w:ascii="DecimaWE Rg" w:hAnsi="DecimaWE Rg"/>
          <w:sz w:val="24"/>
          <w:szCs w:val="24"/>
        </w:rPr>
        <w:t xml:space="preserve"> l’azione a favore dell’economia circolare danno impulso agli investimenti e all’occupazione nel contesto più ampio della green economy. La revisione delle norme sulla gestione dei rifiuti, in sinergia con le politiche di prodotto e </w:t>
      </w:r>
      <w:r w:rsidR="00E82CB4" w:rsidRPr="00E82CB4">
        <w:rPr>
          <w:rFonts w:ascii="DecimaWE Rg" w:hAnsi="DecimaWE Rg"/>
          <w:sz w:val="24"/>
          <w:szCs w:val="24"/>
        </w:rPr>
        <w:t>l’incentivo al</w:t>
      </w:r>
      <w:r w:rsidRPr="00E82CB4">
        <w:rPr>
          <w:rFonts w:ascii="DecimaWE Rg" w:hAnsi="DecimaWE Rg"/>
          <w:sz w:val="24"/>
          <w:szCs w:val="24"/>
        </w:rPr>
        <w:t>lo sviluppo dei mercati per le materie prime secondar</w:t>
      </w:r>
      <w:r w:rsidR="00E82CB4" w:rsidRPr="00E82CB4">
        <w:rPr>
          <w:rFonts w:ascii="DecimaWE Rg" w:hAnsi="DecimaWE Rg"/>
          <w:sz w:val="24"/>
          <w:szCs w:val="24"/>
        </w:rPr>
        <w:t xml:space="preserve">ie attestano </w:t>
      </w:r>
      <w:r w:rsidRPr="00E82CB4">
        <w:rPr>
          <w:rFonts w:ascii="DecimaWE Rg" w:hAnsi="DecimaWE Rg"/>
          <w:sz w:val="24"/>
          <w:szCs w:val="24"/>
        </w:rPr>
        <w:t>la volontà di abbandonare il modello economico lineare per rafforzare quello dell’economia circolare, come già evidenziato dal Comitato delle Regioni nei propri Pareri “Verso un'economia circolare: riesame della legislazione UE in materia di rifiuti”, “Proposte legislative che modificano le direttive sui rifiuti” e “Piano d'azione dell'UE per l'economia circolare”</w:t>
      </w:r>
      <w:r w:rsidR="00E82CB4">
        <w:rPr>
          <w:rFonts w:ascii="DecimaWE Rg" w:hAnsi="DecimaWE Rg"/>
          <w:sz w:val="24"/>
          <w:szCs w:val="24"/>
        </w:rPr>
        <w:t>.</w:t>
      </w:r>
    </w:p>
    <w:p w:rsidR="001044C5" w:rsidRPr="00E82CB4" w:rsidRDefault="00E82CB4" w:rsidP="00E82CB4">
      <w:pPr>
        <w:overflowPunct/>
        <w:autoSpaceDE/>
        <w:autoSpaceDN/>
        <w:adjustRightInd/>
        <w:spacing w:before="100" w:beforeAutospacing="1" w:after="120" w:line="240" w:lineRule="auto"/>
        <w:textAlignment w:val="auto"/>
        <w:rPr>
          <w:rFonts w:ascii="DecimaWE Rg" w:hAnsi="DecimaWE Rg"/>
          <w:sz w:val="24"/>
          <w:szCs w:val="24"/>
        </w:rPr>
      </w:pPr>
      <w:r w:rsidRPr="00E82CB4">
        <w:rPr>
          <w:rFonts w:ascii="DecimaWE Rg" w:hAnsi="DecimaWE Rg"/>
          <w:sz w:val="24"/>
          <w:szCs w:val="24"/>
        </w:rPr>
        <w:t>O</w:t>
      </w:r>
      <w:r w:rsidR="001044C5" w:rsidRPr="00E82CB4">
        <w:rPr>
          <w:rFonts w:ascii="DecimaWE Rg" w:hAnsi="DecimaWE Rg"/>
          <w:sz w:val="24"/>
          <w:szCs w:val="24"/>
        </w:rPr>
        <w:t>ccorr</w:t>
      </w:r>
      <w:r w:rsidRPr="00E82CB4">
        <w:rPr>
          <w:rFonts w:ascii="DecimaWE Rg" w:hAnsi="DecimaWE Rg"/>
          <w:sz w:val="24"/>
          <w:szCs w:val="24"/>
        </w:rPr>
        <w:t>e pertanto</w:t>
      </w:r>
      <w:r w:rsidR="001044C5" w:rsidRPr="00E82CB4">
        <w:rPr>
          <w:rFonts w:ascii="DecimaWE Rg" w:hAnsi="DecimaWE Rg"/>
          <w:sz w:val="24"/>
          <w:szCs w:val="24"/>
        </w:rPr>
        <w:t xml:space="preserve"> dare attuazione ad una politica efficace che miri ad offrire soluzioni ai pilastri dell’Agenda, essendo diventato improrogabile riuscire a conferire una nuova qualità e una rinnovata identità ai territori</w:t>
      </w:r>
      <w:r w:rsidRPr="00E82CB4">
        <w:rPr>
          <w:rFonts w:ascii="DecimaWE Rg" w:hAnsi="DecimaWE Rg"/>
          <w:sz w:val="24"/>
          <w:szCs w:val="24"/>
        </w:rPr>
        <w:t xml:space="preserve">, per </w:t>
      </w:r>
      <w:r w:rsidR="001044C5" w:rsidRPr="00E82CB4">
        <w:rPr>
          <w:rFonts w:ascii="DecimaWE Rg" w:hAnsi="DecimaWE Rg"/>
          <w:sz w:val="24"/>
          <w:szCs w:val="24"/>
        </w:rPr>
        <w:t>vincere le nuove impegnative sfide determinate dai processi di globalizzazione e, allo stesso tempo, dalle nuove domande sociali sui temi prioritari come il lavoro, i servizi, il welfare e la solidarietà</w:t>
      </w:r>
      <w:r w:rsidRPr="00E82CB4">
        <w:rPr>
          <w:rFonts w:ascii="DecimaWE Rg" w:hAnsi="DecimaWE Rg"/>
          <w:sz w:val="24"/>
          <w:szCs w:val="24"/>
        </w:rPr>
        <w:t>.</w:t>
      </w:r>
    </w:p>
    <w:p w:rsidR="00E82CB4" w:rsidRPr="00E82CB4" w:rsidRDefault="00E82CB4" w:rsidP="00E82CB4">
      <w:pPr>
        <w:overflowPunct/>
        <w:autoSpaceDE/>
        <w:autoSpaceDN/>
        <w:adjustRightInd/>
        <w:spacing w:before="100" w:beforeAutospacing="1" w:after="120" w:line="240" w:lineRule="auto"/>
        <w:textAlignment w:val="auto"/>
        <w:rPr>
          <w:rFonts w:ascii="DecimaWE Rg" w:hAnsi="DecimaWE Rg"/>
          <w:sz w:val="24"/>
          <w:szCs w:val="24"/>
        </w:rPr>
      </w:pPr>
      <w:r w:rsidRPr="00E82CB4">
        <w:rPr>
          <w:rFonts w:ascii="DecimaWE Rg" w:hAnsi="DecimaWE Rg"/>
          <w:sz w:val="24"/>
          <w:szCs w:val="24"/>
        </w:rPr>
        <w:t xml:space="preserve">I </w:t>
      </w:r>
      <w:r w:rsidR="001044C5" w:rsidRPr="00E82CB4">
        <w:rPr>
          <w:rFonts w:ascii="DecimaWE Rg" w:hAnsi="DecimaWE Rg"/>
          <w:sz w:val="24"/>
          <w:szCs w:val="24"/>
        </w:rPr>
        <w:t xml:space="preserve"> modelli di sviluppo, condizionati dai nuovi fattori competitivi, quali fra l’altro le reti immateriali che consentono di interconnettere una quantità infinita di dati con un numero illimitato di utenti, segnano una divaricazione netta tra il bisogno di compressione dei tempi per le imprese e il “</w:t>
      </w:r>
      <w:proofErr w:type="spellStart"/>
      <w:r w:rsidR="001044C5" w:rsidRPr="00E82CB4">
        <w:rPr>
          <w:rFonts w:ascii="DecimaWE Rg" w:hAnsi="DecimaWE Rg"/>
          <w:sz w:val="24"/>
          <w:szCs w:val="24"/>
        </w:rPr>
        <w:t>time</w:t>
      </w:r>
      <w:proofErr w:type="spellEnd"/>
      <w:r w:rsidR="001044C5" w:rsidRPr="00E82CB4">
        <w:rPr>
          <w:rFonts w:ascii="DecimaWE Rg" w:hAnsi="DecimaWE Rg"/>
          <w:sz w:val="24"/>
          <w:szCs w:val="24"/>
        </w:rPr>
        <w:t xml:space="preserve"> </w:t>
      </w:r>
      <w:proofErr w:type="spellStart"/>
      <w:r w:rsidR="001044C5" w:rsidRPr="00E82CB4">
        <w:rPr>
          <w:rFonts w:ascii="DecimaWE Rg" w:hAnsi="DecimaWE Rg"/>
          <w:sz w:val="24"/>
          <w:szCs w:val="24"/>
        </w:rPr>
        <w:t>to</w:t>
      </w:r>
      <w:proofErr w:type="spellEnd"/>
      <w:r w:rsidR="001044C5" w:rsidRPr="00E82CB4">
        <w:rPr>
          <w:rFonts w:ascii="DecimaWE Rg" w:hAnsi="DecimaWE Rg"/>
          <w:sz w:val="24"/>
          <w:szCs w:val="24"/>
        </w:rPr>
        <w:t xml:space="preserve"> market” dei processi di costruzione del consenso e delle procedure burocratiche. Le Regioni, pertanto, rappresentano la dimensione adeguata per accelerare il consenso alla necessaria velocità decisionale che i mercati impongono alla politica</w:t>
      </w:r>
      <w:r w:rsidRPr="00E82CB4">
        <w:rPr>
          <w:rFonts w:ascii="DecimaWE Rg" w:hAnsi="DecimaWE Rg"/>
          <w:sz w:val="24"/>
          <w:szCs w:val="24"/>
        </w:rPr>
        <w:t>.</w:t>
      </w:r>
    </w:p>
    <w:p w:rsidR="001044C5" w:rsidRPr="00E82CB4" w:rsidRDefault="00E82CB4" w:rsidP="00E82CB4">
      <w:pPr>
        <w:overflowPunct/>
        <w:autoSpaceDE/>
        <w:autoSpaceDN/>
        <w:adjustRightInd/>
        <w:spacing w:before="100" w:beforeAutospacing="1" w:after="120" w:line="240" w:lineRule="auto"/>
        <w:textAlignment w:val="auto"/>
        <w:rPr>
          <w:rFonts w:ascii="DecimaWE Rg" w:hAnsi="DecimaWE Rg"/>
          <w:sz w:val="24"/>
          <w:szCs w:val="24"/>
        </w:rPr>
      </w:pPr>
      <w:r w:rsidRPr="00E82CB4">
        <w:rPr>
          <w:rFonts w:ascii="DecimaWE Rg" w:hAnsi="DecimaWE Rg"/>
          <w:sz w:val="24"/>
          <w:szCs w:val="24"/>
        </w:rPr>
        <w:t xml:space="preserve"> I </w:t>
      </w:r>
      <w:r w:rsidR="001044C5" w:rsidRPr="00E82CB4">
        <w:rPr>
          <w:rFonts w:ascii="DecimaWE Rg" w:hAnsi="DecimaWE Rg"/>
          <w:sz w:val="24"/>
          <w:szCs w:val="24"/>
        </w:rPr>
        <w:t xml:space="preserve">Governi Regionali e Locali rivestono un ruolo cruciale </w:t>
      </w:r>
      <w:r w:rsidRPr="00E82CB4">
        <w:rPr>
          <w:rFonts w:ascii="DecimaWE Rg" w:hAnsi="DecimaWE Rg"/>
          <w:sz w:val="24"/>
          <w:szCs w:val="24"/>
        </w:rPr>
        <w:t xml:space="preserve">anche e soprattutto </w:t>
      </w:r>
      <w:r w:rsidR="001044C5" w:rsidRPr="00E82CB4">
        <w:rPr>
          <w:rFonts w:ascii="DecimaWE Rg" w:hAnsi="DecimaWE Rg"/>
          <w:sz w:val="24"/>
          <w:szCs w:val="24"/>
        </w:rPr>
        <w:t>nel rapporto tra i partenariati pubblico-privato, essendo in grado di riconoscere la molteplicità e l’eterogeneità delle forme di sviluppo che possono promuovere investimenti mirati a supporto dello sviluppo endogeno centrato sulla valorizzazione delle risorse che ogni territorio possiede</w:t>
      </w:r>
      <w:r w:rsidRPr="00E82CB4">
        <w:rPr>
          <w:rFonts w:ascii="DecimaWE Rg" w:hAnsi="DecimaWE Rg"/>
          <w:sz w:val="24"/>
          <w:szCs w:val="24"/>
        </w:rPr>
        <w:t>.</w:t>
      </w:r>
    </w:p>
    <w:p w:rsidR="00117EEF" w:rsidRPr="0051717D" w:rsidRDefault="0051717D" w:rsidP="0057699B">
      <w:pPr>
        <w:overflowPunct/>
        <w:autoSpaceDE/>
        <w:autoSpaceDN/>
        <w:adjustRightInd/>
        <w:spacing w:before="100" w:beforeAutospacing="1" w:after="120" w:line="240" w:lineRule="auto"/>
        <w:textAlignment w:val="auto"/>
        <w:rPr>
          <w:rFonts w:ascii="DecimaWE Rg" w:hAnsi="DecimaWE Rg"/>
          <w:sz w:val="24"/>
          <w:szCs w:val="24"/>
        </w:rPr>
      </w:pPr>
      <w:r w:rsidRPr="0051717D">
        <w:rPr>
          <w:rFonts w:ascii="DecimaWE Rg" w:hAnsi="DecimaWE Rg"/>
          <w:sz w:val="24"/>
          <w:szCs w:val="24"/>
        </w:rPr>
        <w:t>L</w:t>
      </w:r>
      <w:r w:rsidR="00117EEF" w:rsidRPr="0051717D">
        <w:rPr>
          <w:rFonts w:ascii="DecimaWE Rg" w:hAnsi="DecimaWE Rg"/>
          <w:sz w:val="24"/>
          <w:szCs w:val="24"/>
        </w:rPr>
        <w:t>a localizzazione degli obiettivi dell'Agenda 2030</w:t>
      </w:r>
      <w:r w:rsidR="00547109" w:rsidRPr="0051717D">
        <w:rPr>
          <w:rFonts w:ascii="DecimaWE Rg" w:hAnsi="DecimaWE Rg"/>
          <w:sz w:val="24"/>
          <w:szCs w:val="24"/>
        </w:rPr>
        <w:t xml:space="preserve"> </w:t>
      </w:r>
      <w:r w:rsidR="00117EEF" w:rsidRPr="0051717D">
        <w:rPr>
          <w:rFonts w:ascii="DecimaWE Rg" w:hAnsi="DecimaWE Rg"/>
          <w:sz w:val="24"/>
          <w:szCs w:val="24"/>
        </w:rPr>
        <w:t>rappresenta</w:t>
      </w:r>
      <w:r w:rsidRPr="0051717D">
        <w:rPr>
          <w:rFonts w:ascii="DecimaWE Rg" w:hAnsi="DecimaWE Rg"/>
          <w:sz w:val="24"/>
          <w:szCs w:val="24"/>
        </w:rPr>
        <w:t xml:space="preserve"> quindi</w:t>
      </w:r>
      <w:r w:rsidR="00117EEF" w:rsidRPr="0051717D">
        <w:rPr>
          <w:rFonts w:ascii="DecimaWE Rg" w:hAnsi="DecimaWE Rg"/>
          <w:sz w:val="24"/>
          <w:szCs w:val="24"/>
        </w:rPr>
        <w:t xml:space="preserve"> il solo modo per produrre un impatto concreto e du</w:t>
      </w:r>
      <w:r w:rsidR="00547109" w:rsidRPr="0051717D">
        <w:rPr>
          <w:rFonts w:ascii="DecimaWE Rg" w:hAnsi="DecimaWE Rg"/>
          <w:sz w:val="24"/>
          <w:szCs w:val="24"/>
        </w:rPr>
        <w:t>revole sulla vita delle persone, il che richiede un approccio partecipativo “</w:t>
      </w:r>
      <w:proofErr w:type="spellStart"/>
      <w:r w:rsidR="00547109" w:rsidRPr="0051717D">
        <w:rPr>
          <w:rFonts w:ascii="DecimaWE Rg" w:hAnsi="DecimaWE Rg"/>
          <w:i/>
          <w:sz w:val="24"/>
          <w:szCs w:val="24"/>
        </w:rPr>
        <w:t>bottom</w:t>
      </w:r>
      <w:proofErr w:type="spellEnd"/>
      <w:r w:rsidR="00547109" w:rsidRPr="0051717D">
        <w:rPr>
          <w:rFonts w:ascii="DecimaWE Rg" w:hAnsi="DecimaWE Rg"/>
          <w:i/>
          <w:sz w:val="24"/>
          <w:szCs w:val="24"/>
        </w:rPr>
        <w:t xml:space="preserve"> up</w:t>
      </w:r>
      <w:r w:rsidR="00547109" w:rsidRPr="0051717D">
        <w:rPr>
          <w:rFonts w:ascii="DecimaWE Rg" w:hAnsi="DecimaWE Rg"/>
          <w:sz w:val="24"/>
          <w:szCs w:val="24"/>
        </w:rPr>
        <w:t xml:space="preserve">”, che utilizzi le piattaforme di dialogo e di scambio di buone pratiche a disposizione, quali UNDP Live – </w:t>
      </w:r>
      <w:proofErr w:type="spellStart"/>
      <w:r w:rsidR="00547109" w:rsidRPr="0051717D">
        <w:rPr>
          <w:rFonts w:ascii="DecimaWE Rg" w:hAnsi="DecimaWE Rg"/>
          <w:sz w:val="24"/>
          <w:szCs w:val="24"/>
        </w:rPr>
        <w:t>Sustainable</w:t>
      </w:r>
      <w:proofErr w:type="spellEnd"/>
      <w:r w:rsidR="00547109" w:rsidRPr="0051717D">
        <w:rPr>
          <w:rFonts w:ascii="DecimaWE Rg" w:hAnsi="DecimaWE Rg"/>
          <w:sz w:val="24"/>
          <w:szCs w:val="24"/>
        </w:rPr>
        <w:t xml:space="preserve"> </w:t>
      </w:r>
      <w:proofErr w:type="spellStart"/>
      <w:r w:rsidR="00547109" w:rsidRPr="0051717D">
        <w:rPr>
          <w:rFonts w:ascii="DecimaWE Rg" w:hAnsi="DecimaWE Rg"/>
          <w:sz w:val="24"/>
          <w:szCs w:val="24"/>
        </w:rPr>
        <w:t>Development</w:t>
      </w:r>
      <w:proofErr w:type="spellEnd"/>
      <w:r w:rsidR="00547109" w:rsidRPr="0051717D">
        <w:rPr>
          <w:rFonts w:ascii="DecimaWE Rg" w:hAnsi="DecimaWE Rg"/>
          <w:sz w:val="24"/>
          <w:szCs w:val="24"/>
        </w:rPr>
        <w:t xml:space="preserve"> </w:t>
      </w:r>
      <w:proofErr w:type="spellStart"/>
      <w:r w:rsidR="00547109" w:rsidRPr="0051717D">
        <w:rPr>
          <w:rFonts w:ascii="DecimaWE Rg" w:hAnsi="DecimaWE Rg"/>
          <w:sz w:val="24"/>
          <w:szCs w:val="24"/>
        </w:rPr>
        <w:t>Knowledge</w:t>
      </w:r>
      <w:proofErr w:type="spellEnd"/>
      <w:r w:rsidR="00547109" w:rsidRPr="0051717D">
        <w:rPr>
          <w:rFonts w:ascii="DecimaWE Rg" w:hAnsi="DecimaWE Rg"/>
          <w:sz w:val="24"/>
          <w:szCs w:val="24"/>
        </w:rPr>
        <w:t xml:space="preserve"> </w:t>
      </w:r>
      <w:proofErr w:type="spellStart"/>
      <w:r w:rsidR="00547109" w:rsidRPr="0051717D">
        <w:rPr>
          <w:rFonts w:ascii="DecimaWE Rg" w:hAnsi="DecimaWE Rg"/>
          <w:sz w:val="24"/>
          <w:szCs w:val="24"/>
        </w:rPr>
        <w:t>Platform</w:t>
      </w:r>
      <w:proofErr w:type="spellEnd"/>
      <w:r w:rsidR="00547109" w:rsidRPr="0051717D">
        <w:rPr>
          <w:rFonts w:ascii="DecimaWE Rg" w:hAnsi="DecimaWE Rg"/>
          <w:sz w:val="24"/>
          <w:szCs w:val="24"/>
        </w:rPr>
        <w:t xml:space="preserve">, la </w:t>
      </w:r>
      <w:r w:rsidR="0057699B" w:rsidRPr="0051717D">
        <w:rPr>
          <w:rFonts w:ascii="DecimaWE Rg" w:hAnsi="DecimaWE Rg"/>
          <w:sz w:val="24"/>
          <w:szCs w:val="24"/>
        </w:rPr>
        <w:t>“</w:t>
      </w:r>
      <w:r w:rsidR="00547109" w:rsidRPr="0051717D">
        <w:rPr>
          <w:rFonts w:ascii="DecimaWE Rg" w:hAnsi="DecimaWE Rg"/>
          <w:sz w:val="24"/>
          <w:szCs w:val="24"/>
        </w:rPr>
        <w:t xml:space="preserve">Piattaforma </w:t>
      </w:r>
      <w:proofErr w:type="spellStart"/>
      <w:r w:rsidR="00547109" w:rsidRPr="0051717D">
        <w:rPr>
          <w:rFonts w:ascii="DecimaWE Rg" w:hAnsi="DecimaWE Rg"/>
          <w:sz w:val="24"/>
          <w:szCs w:val="24"/>
        </w:rPr>
        <w:t>multi-stakeholder</w:t>
      </w:r>
      <w:proofErr w:type="spellEnd"/>
      <w:r w:rsidR="00547109" w:rsidRPr="0051717D">
        <w:rPr>
          <w:rFonts w:ascii="DecimaWE Rg" w:hAnsi="DecimaWE Rg"/>
          <w:sz w:val="24"/>
          <w:szCs w:val="24"/>
        </w:rPr>
        <w:t xml:space="preserve">" </w:t>
      </w:r>
      <w:r w:rsidR="00260447" w:rsidRPr="0051717D">
        <w:rPr>
          <w:rFonts w:ascii="DecimaWE Rg" w:hAnsi="DecimaWE Rg"/>
          <w:sz w:val="24"/>
          <w:szCs w:val="24"/>
        </w:rPr>
        <w:t>della</w:t>
      </w:r>
      <w:r w:rsidR="00547109" w:rsidRPr="0051717D">
        <w:rPr>
          <w:rFonts w:ascii="DecimaWE Rg" w:hAnsi="DecimaWE Rg"/>
          <w:sz w:val="24"/>
          <w:szCs w:val="24"/>
        </w:rPr>
        <w:t xml:space="preserve"> CE per facilitare la declinazione a livello territoriale degli elementi universali contenuti nell'Agenda</w:t>
      </w:r>
      <w:r w:rsidR="0057699B" w:rsidRPr="0051717D">
        <w:rPr>
          <w:rFonts w:ascii="DecimaWE Rg" w:hAnsi="DecimaWE Rg"/>
          <w:sz w:val="24"/>
          <w:szCs w:val="24"/>
        </w:rPr>
        <w:t>, nonché</w:t>
      </w:r>
      <w:r w:rsidR="00547109" w:rsidRPr="0051717D">
        <w:rPr>
          <w:rFonts w:ascii="DecimaWE Rg" w:hAnsi="DecimaWE Rg"/>
          <w:sz w:val="24"/>
          <w:szCs w:val="24"/>
        </w:rPr>
        <w:t xml:space="preserve"> le numerose piattaforme messe a disposizione dal </w:t>
      </w:r>
      <w:proofErr w:type="spellStart"/>
      <w:r w:rsidR="00547109" w:rsidRPr="0051717D">
        <w:rPr>
          <w:rFonts w:ascii="DecimaWE Rg" w:hAnsi="DecimaWE Rg"/>
          <w:sz w:val="24"/>
          <w:szCs w:val="24"/>
        </w:rPr>
        <w:t>CdR</w:t>
      </w:r>
      <w:proofErr w:type="spellEnd"/>
      <w:r w:rsidR="00547109" w:rsidRPr="0051717D">
        <w:rPr>
          <w:rFonts w:ascii="DecimaWE Rg" w:hAnsi="DecimaWE Rg"/>
          <w:sz w:val="24"/>
          <w:szCs w:val="24"/>
        </w:rPr>
        <w:t>.</w:t>
      </w:r>
    </w:p>
    <w:p w:rsidR="006D0909" w:rsidRPr="0051717D" w:rsidRDefault="0057699B" w:rsidP="0057699B">
      <w:pPr>
        <w:overflowPunct/>
        <w:autoSpaceDE/>
        <w:autoSpaceDN/>
        <w:adjustRightInd/>
        <w:spacing w:before="100" w:beforeAutospacing="1" w:after="120" w:line="240" w:lineRule="auto"/>
        <w:textAlignment w:val="auto"/>
        <w:rPr>
          <w:rFonts w:ascii="DecimaWE Rg" w:hAnsi="DecimaWE Rg"/>
          <w:sz w:val="24"/>
          <w:szCs w:val="24"/>
        </w:rPr>
      </w:pPr>
      <w:r w:rsidRPr="0051717D">
        <w:rPr>
          <w:rFonts w:ascii="DecimaWE Rg" w:hAnsi="DecimaWE Rg"/>
          <w:sz w:val="24"/>
          <w:szCs w:val="24"/>
        </w:rPr>
        <w:t xml:space="preserve">Si sottolinea tuttavia che gli obiettivi, ispirati al principio della sostenibilità in una logica di sussidiarietà, richiedono un bilanciamento tra le esigenze attuali e quelle delle generazioni future e che data l'asimmetria temporale tra le azioni europee (2020), a cui la Comunicazione fa riferimento, e l'Agenda 2030, si rende necessario </w:t>
      </w:r>
      <w:r w:rsidR="00260447" w:rsidRPr="0051717D">
        <w:rPr>
          <w:rFonts w:ascii="DecimaWE Rg" w:hAnsi="DecimaWE Rg"/>
          <w:sz w:val="24"/>
          <w:szCs w:val="24"/>
        </w:rPr>
        <w:t>usufruire di nuovi</w:t>
      </w:r>
      <w:r w:rsidRPr="0051717D">
        <w:rPr>
          <w:rFonts w:ascii="DecimaWE Rg" w:hAnsi="DecimaWE Rg"/>
          <w:sz w:val="24"/>
          <w:szCs w:val="24"/>
        </w:rPr>
        <w:t xml:space="preserve"> strumenti, economici e finanziari di sostegno aggiuntivi, approfittando della </w:t>
      </w:r>
      <w:r w:rsidR="006D0909" w:rsidRPr="0051717D">
        <w:rPr>
          <w:rFonts w:ascii="DecimaWE Rg" w:hAnsi="DecimaWE Rg"/>
          <w:sz w:val="24"/>
          <w:szCs w:val="24"/>
        </w:rPr>
        <w:t>revisione di medio termine del Quad</w:t>
      </w:r>
      <w:r w:rsidRPr="0051717D">
        <w:rPr>
          <w:rFonts w:ascii="DecimaWE Rg" w:hAnsi="DecimaWE Rg"/>
          <w:sz w:val="24"/>
          <w:szCs w:val="24"/>
        </w:rPr>
        <w:t>ro Finanziario Pluriennale (QFP).</w:t>
      </w:r>
    </w:p>
    <w:p w:rsidR="005A3508" w:rsidRPr="0051717D" w:rsidRDefault="00193190" w:rsidP="005A3508">
      <w:pPr>
        <w:overflowPunct/>
        <w:autoSpaceDE/>
        <w:autoSpaceDN/>
        <w:adjustRightInd/>
        <w:spacing w:before="100" w:beforeAutospacing="1" w:after="120" w:line="240" w:lineRule="auto"/>
        <w:textAlignment w:val="auto"/>
        <w:rPr>
          <w:rFonts w:ascii="DecimaWE Rg" w:hAnsi="DecimaWE Rg"/>
          <w:i/>
          <w:sz w:val="24"/>
          <w:szCs w:val="24"/>
        </w:rPr>
      </w:pPr>
      <w:r>
        <w:rPr>
          <w:rFonts w:ascii="DecimaWE Rg" w:hAnsi="DecimaWE Rg"/>
          <w:sz w:val="24"/>
          <w:szCs w:val="24"/>
        </w:rPr>
        <w:t xml:space="preserve">Nel parere sugli </w:t>
      </w:r>
      <w:proofErr w:type="spellStart"/>
      <w:r>
        <w:rPr>
          <w:rFonts w:ascii="DecimaWE Rg" w:hAnsi="DecimaWE Rg"/>
          <w:sz w:val="24"/>
          <w:szCs w:val="24"/>
        </w:rPr>
        <w:t>SDGs</w:t>
      </w:r>
      <w:proofErr w:type="spellEnd"/>
      <w:r>
        <w:rPr>
          <w:rFonts w:ascii="DecimaWE Rg" w:hAnsi="DecimaWE Rg"/>
          <w:sz w:val="24"/>
          <w:szCs w:val="24"/>
        </w:rPr>
        <w:t xml:space="preserve"> approvato dal </w:t>
      </w:r>
      <w:proofErr w:type="spellStart"/>
      <w:r>
        <w:rPr>
          <w:rFonts w:ascii="DecimaWE Rg" w:hAnsi="DecimaWE Rg"/>
          <w:sz w:val="24"/>
          <w:szCs w:val="24"/>
        </w:rPr>
        <w:t>CdR</w:t>
      </w:r>
      <w:proofErr w:type="spellEnd"/>
      <w:r>
        <w:rPr>
          <w:rFonts w:ascii="DecimaWE Rg" w:hAnsi="DecimaWE Rg"/>
          <w:sz w:val="24"/>
          <w:szCs w:val="24"/>
        </w:rPr>
        <w:t xml:space="preserve"> lo scorso anno, si è ribadito  che le</w:t>
      </w:r>
      <w:r w:rsidR="00F24235" w:rsidRPr="0051717D">
        <w:rPr>
          <w:rFonts w:ascii="DecimaWE Rg" w:hAnsi="DecimaWE Rg"/>
          <w:sz w:val="24"/>
          <w:szCs w:val="24"/>
        </w:rPr>
        <w:t xml:space="preserve"> azioni in cui si declinano gli Obiettivi dell’A</w:t>
      </w:r>
      <w:r w:rsidR="00673A33" w:rsidRPr="0051717D">
        <w:rPr>
          <w:rFonts w:ascii="DecimaWE Rg" w:hAnsi="DecimaWE Rg"/>
          <w:sz w:val="24"/>
          <w:szCs w:val="24"/>
        </w:rPr>
        <w:t xml:space="preserve">genda 2030 </w:t>
      </w:r>
      <w:r w:rsidR="005A3508" w:rsidRPr="0051717D">
        <w:rPr>
          <w:rFonts w:ascii="DecimaWE Rg" w:hAnsi="DecimaWE Rg"/>
          <w:sz w:val="24"/>
          <w:szCs w:val="24"/>
        </w:rPr>
        <w:t xml:space="preserve">e che vedono protagoniste le LRA </w:t>
      </w:r>
      <w:r>
        <w:rPr>
          <w:rFonts w:ascii="DecimaWE Rg" w:hAnsi="DecimaWE Rg"/>
          <w:sz w:val="24"/>
          <w:szCs w:val="24"/>
        </w:rPr>
        <w:t xml:space="preserve">devono avere di </w:t>
      </w:r>
      <w:r>
        <w:rPr>
          <w:rFonts w:ascii="DecimaWE Rg" w:hAnsi="DecimaWE Rg"/>
          <w:sz w:val="24"/>
          <w:szCs w:val="24"/>
        </w:rPr>
        <w:lastRenderedPageBreak/>
        <w:t>mira</w:t>
      </w:r>
      <w:r w:rsidR="005A3508" w:rsidRPr="0051717D">
        <w:rPr>
          <w:rFonts w:ascii="DecimaWE Rg" w:hAnsi="DecimaWE Rg"/>
          <w:i/>
          <w:sz w:val="24"/>
          <w:szCs w:val="24"/>
        </w:rPr>
        <w:t xml:space="preserve"> il Miglioramento dell’impatto delle politiche sul pilastro dimensione ambientale</w:t>
      </w:r>
      <w:r w:rsidR="00CB0CBD" w:rsidRPr="0051717D">
        <w:rPr>
          <w:rFonts w:ascii="DecimaWE Rg" w:hAnsi="DecimaWE Rg"/>
          <w:i/>
          <w:sz w:val="24"/>
          <w:szCs w:val="24"/>
        </w:rPr>
        <w:t>, mediante azioni volte a:</w:t>
      </w:r>
    </w:p>
    <w:p w:rsidR="005A3508" w:rsidRPr="0051717D" w:rsidRDefault="005A3508" w:rsidP="005A3508">
      <w:pPr>
        <w:pStyle w:val="Paragrafoelenco"/>
        <w:numPr>
          <w:ilvl w:val="0"/>
          <w:numId w:val="7"/>
        </w:numPr>
        <w:ind w:left="360"/>
        <w:rPr>
          <w:rFonts w:ascii="DecimaWE Rg" w:hAnsi="DecimaWE Rg"/>
          <w:sz w:val="24"/>
          <w:szCs w:val="24"/>
        </w:rPr>
      </w:pPr>
      <w:r w:rsidRPr="0051717D">
        <w:rPr>
          <w:rFonts w:ascii="DecimaWE Rg" w:hAnsi="DecimaWE Rg"/>
          <w:sz w:val="24"/>
          <w:szCs w:val="24"/>
        </w:rPr>
        <w:t xml:space="preserve">prestare particolare attenzione alle </w:t>
      </w:r>
      <w:r w:rsidRPr="0051717D">
        <w:rPr>
          <w:rFonts w:ascii="DecimaWE Rg" w:hAnsi="DecimaWE Rg"/>
          <w:b/>
          <w:sz w:val="24"/>
          <w:szCs w:val="24"/>
        </w:rPr>
        <w:t>produzioni eco-compatibili</w:t>
      </w:r>
      <w:r w:rsidRPr="0051717D">
        <w:rPr>
          <w:rFonts w:ascii="DecimaWE Rg" w:hAnsi="DecimaWE Rg"/>
          <w:sz w:val="24"/>
          <w:szCs w:val="24"/>
        </w:rPr>
        <w:t xml:space="preserve">, </w:t>
      </w:r>
    </w:p>
    <w:p w:rsidR="005A3508" w:rsidRPr="0051717D" w:rsidRDefault="005A3508" w:rsidP="005A3508">
      <w:pPr>
        <w:pStyle w:val="Paragrafoelenco"/>
        <w:numPr>
          <w:ilvl w:val="0"/>
          <w:numId w:val="7"/>
        </w:numPr>
        <w:ind w:left="360"/>
        <w:rPr>
          <w:rFonts w:ascii="DecimaWE Rg" w:hAnsi="DecimaWE Rg"/>
          <w:sz w:val="24"/>
          <w:szCs w:val="24"/>
        </w:rPr>
      </w:pPr>
      <w:r w:rsidRPr="0051717D">
        <w:rPr>
          <w:rFonts w:ascii="DecimaWE Rg" w:hAnsi="DecimaWE Rg"/>
          <w:sz w:val="24"/>
          <w:szCs w:val="24"/>
        </w:rPr>
        <w:t xml:space="preserve">attuare l'agenda per la </w:t>
      </w:r>
      <w:r w:rsidRPr="0051717D">
        <w:rPr>
          <w:rFonts w:ascii="DecimaWE Rg" w:hAnsi="DecimaWE Rg"/>
          <w:b/>
          <w:sz w:val="24"/>
          <w:szCs w:val="24"/>
        </w:rPr>
        <w:t>Crescita blu</w:t>
      </w:r>
      <w:r w:rsidRPr="0051717D">
        <w:rPr>
          <w:rFonts w:ascii="DecimaWE Rg" w:hAnsi="DecimaWE Rg"/>
          <w:sz w:val="24"/>
          <w:szCs w:val="24"/>
        </w:rPr>
        <w:t>, per creare lavoro, valore economico e sostenibilità;</w:t>
      </w:r>
    </w:p>
    <w:p w:rsidR="005A3508" w:rsidRPr="0051717D" w:rsidRDefault="005A3508" w:rsidP="005A3508">
      <w:pPr>
        <w:pStyle w:val="Paragrafoelenco"/>
        <w:numPr>
          <w:ilvl w:val="0"/>
          <w:numId w:val="7"/>
        </w:numPr>
        <w:ind w:left="360"/>
        <w:rPr>
          <w:rFonts w:ascii="DecimaWE Rg" w:hAnsi="DecimaWE Rg"/>
          <w:sz w:val="24"/>
          <w:szCs w:val="24"/>
        </w:rPr>
      </w:pPr>
      <w:r w:rsidRPr="0051717D">
        <w:rPr>
          <w:rFonts w:ascii="DecimaWE Rg" w:hAnsi="DecimaWE Rg"/>
          <w:sz w:val="24"/>
          <w:szCs w:val="24"/>
        </w:rPr>
        <w:t xml:space="preserve">minimizzare gli sprechi alimentari e a recuperare i rifiuti dando impulso agli investimenti e all'occupazione nel contesto più ampio della </w:t>
      </w:r>
      <w:r w:rsidRPr="0051717D">
        <w:rPr>
          <w:rFonts w:ascii="DecimaWE Rg" w:hAnsi="DecimaWE Rg"/>
          <w:b/>
          <w:i/>
          <w:sz w:val="24"/>
          <w:szCs w:val="24"/>
        </w:rPr>
        <w:t>green economy</w:t>
      </w:r>
      <w:r w:rsidRPr="0051717D">
        <w:rPr>
          <w:rFonts w:ascii="DecimaWE Rg" w:hAnsi="DecimaWE Rg"/>
          <w:sz w:val="24"/>
          <w:szCs w:val="24"/>
        </w:rPr>
        <w:t>, impegnandosi nella transizione verso l'economia circolare.</w:t>
      </w:r>
    </w:p>
    <w:p w:rsidR="00E33BE4" w:rsidRDefault="00E33BE4" w:rsidP="00E33BE4">
      <w:pPr>
        <w:pStyle w:val="Paragrafoelenco"/>
        <w:ind w:left="0"/>
        <w:rPr>
          <w:sz w:val="24"/>
          <w:szCs w:val="24"/>
        </w:rPr>
      </w:pPr>
    </w:p>
    <w:p w:rsidR="00193190" w:rsidRPr="00193190" w:rsidRDefault="00193190" w:rsidP="00193190">
      <w:pPr>
        <w:pStyle w:val="Paragrafoelenco"/>
        <w:ind w:left="0"/>
        <w:rPr>
          <w:rFonts w:ascii="DecimaWE Rg" w:hAnsi="DecimaWE Rg"/>
          <w:sz w:val="24"/>
          <w:szCs w:val="24"/>
        </w:rPr>
      </w:pPr>
      <w:r w:rsidRPr="00193190">
        <w:rPr>
          <w:rFonts w:ascii="DecimaWE Rg" w:hAnsi="DecimaWE Rg"/>
          <w:sz w:val="24"/>
          <w:szCs w:val="24"/>
        </w:rPr>
        <w:t>Infine è bene sottolineare che gli enti locali e regionali svolgono un ruolo essenziale nell'attuazione degli obiettivi comuni dell'UE in materia di gestione dei rifiuti e in particolare di quelli urbani, poiché spetta a loro applicare le decisioni, e non può esserci una soluzione valida per tutti nella varietà delle situazioni esistenti.</w:t>
      </w:r>
    </w:p>
    <w:p w:rsidR="00193190" w:rsidRPr="00193190" w:rsidRDefault="00193190" w:rsidP="00193190">
      <w:pPr>
        <w:pStyle w:val="Paragrafoelenco"/>
        <w:ind w:left="0"/>
        <w:rPr>
          <w:rFonts w:ascii="DecimaWE Rg" w:hAnsi="DecimaWE Rg"/>
          <w:sz w:val="24"/>
          <w:szCs w:val="24"/>
        </w:rPr>
      </w:pPr>
    </w:p>
    <w:p w:rsidR="00193190" w:rsidRPr="00193190" w:rsidRDefault="00193190" w:rsidP="00193190">
      <w:pPr>
        <w:pStyle w:val="Paragrafoelenco"/>
        <w:ind w:left="0"/>
        <w:rPr>
          <w:rFonts w:ascii="DecimaWE Rg" w:hAnsi="DecimaWE Rg"/>
          <w:sz w:val="24"/>
          <w:szCs w:val="24"/>
        </w:rPr>
      </w:pPr>
      <w:r w:rsidRPr="00193190">
        <w:rPr>
          <w:rFonts w:ascii="DecimaWE Rg" w:hAnsi="DecimaWE Rg"/>
          <w:sz w:val="24"/>
          <w:szCs w:val="24"/>
        </w:rPr>
        <w:t>Il Comitato delle regioni ha invitato la Commissione europea a fare in modo che gli Stati membri coinvolgano strettamente gli enti locali e regionali nella definizione della strategia, nell'elaborazione delle necessarie misure tecniche e fiscali, nella creazione dei sistemi di sostegno finanziario e nello scambio di buone pratiche.</w:t>
      </w:r>
    </w:p>
    <w:p w:rsidR="00193190" w:rsidRDefault="00193190" w:rsidP="00193190">
      <w:pPr>
        <w:pStyle w:val="Paragrafoelenco"/>
        <w:ind w:left="0"/>
        <w:rPr>
          <w:rFonts w:ascii="DecimaWE Rg" w:hAnsi="DecimaWE Rg"/>
          <w:sz w:val="24"/>
          <w:szCs w:val="24"/>
        </w:rPr>
      </w:pPr>
      <w:r w:rsidRPr="00193190">
        <w:rPr>
          <w:rFonts w:ascii="DecimaWE Rg" w:hAnsi="DecimaWE Rg"/>
          <w:sz w:val="24"/>
          <w:szCs w:val="24"/>
        </w:rPr>
        <w:t>E’ infatti necessario che il sostegno finanziario a tutti i livelli sia allineato alla gerarchia dei rifiuti e quanto più possibile diretto alla prevenzione dei rifiuti, all'informazione dei cittadini, a sistemi di raccolta differenziata di alto livello, allo sviluppo delle infrastrutture di riutilizzo e di riciclaggio e alla ricerca e all'innovazione in questo campo; i rifiuti e il reddito generato dovrebbero, in via ideale, servire a sviluppare i servizi pubblici locali e a renderli meno costosi.</w:t>
      </w:r>
    </w:p>
    <w:p w:rsidR="00193190" w:rsidRDefault="00193190" w:rsidP="00193190">
      <w:pPr>
        <w:pStyle w:val="Paragrafoelenco"/>
        <w:ind w:left="0"/>
        <w:rPr>
          <w:rFonts w:ascii="DecimaWE Rg" w:hAnsi="DecimaWE Rg"/>
          <w:sz w:val="24"/>
          <w:szCs w:val="24"/>
        </w:rPr>
      </w:pPr>
    </w:p>
    <w:p w:rsidR="00193190" w:rsidRDefault="00193190" w:rsidP="00193190">
      <w:pPr>
        <w:pStyle w:val="Paragrafoelenco"/>
        <w:ind w:left="0"/>
        <w:rPr>
          <w:rFonts w:ascii="DecimaWE Rg" w:hAnsi="DecimaWE Rg"/>
          <w:sz w:val="24"/>
          <w:szCs w:val="24"/>
        </w:rPr>
      </w:pPr>
      <w:r>
        <w:rPr>
          <w:rFonts w:ascii="DecimaWE Rg" w:hAnsi="DecimaWE Rg"/>
          <w:sz w:val="24"/>
          <w:szCs w:val="24"/>
        </w:rPr>
        <w:t xml:space="preserve">E’ bene infine non dimenticare che l’economia circolare offre prospettive di occupazione all’interno dell’Europa ma anche occasioni di sviluppo transnazionale, di progetti e programmi volti al sostegno delle aree periferiche e di prossimità all’Europa </w:t>
      </w:r>
      <w:r w:rsidR="00402BD4">
        <w:rPr>
          <w:rFonts w:ascii="DecimaWE Rg" w:hAnsi="DecimaWE Rg"/>
          <w:sz w:val="24"/>
          <w:szCs w:val="24"/>
        </w:rPr>
        <w:t>per la</w:t>
      </w:r>
      <w:r>
        <w:rPr>
          <w:rFonts w:ascii="DecimaWE Rg" w:hAnsi="DecimaWE Rg"/>
          <w:sz w:val="24"/>
          <w:szCs w:val="24"/>
        </w:rPr>
        <w:t xml:space="preserve"> lotta ai cambiamenti climatici </w:t>
      </w:r>
      <w:r w:rsidR="00402BD4">
        <w:rPr>
          <w:rFonts w:ascii="DecimaWE Rg" w:hAnsi="DecimaWE Rg"/>
          <w:sz w:val="24"/>
          <w:szCs w:val="24"/>
        </w:rPr>
        <w:t>ed i</w:t>
      </w:r>
      <w:r>
        <w:rPr>
          <w:rFonts w:ascii="DecimaWE Rg" w:hAnsi="DecimaWE Rg"/>
          <w:sz w:val="24"/>
          <w:szCs w:val="24"/>
        </w:rPr>
        <w:t xml:space="preserve">l contrasto </w:t>
      </w:r>
      <w:r w:rsidR="00402BD4">
        <w:rPr>
          <w:rFonts w:ascii="DecimaWE Rg" w:hAnsi="DecimaWE Rg"/>
          <w:sz w:val="24"/>
          <w:szCs w:val="24"/>
        </w:rPr>
        <w:t>a</w:t>
      </w:r>
      <w:r>
        <w:rPr>
          <w:rFonts w:ascii="DecimaWE Rg" w:hAnsi="DecimaWE Rg"/>
          <w:sz w:val="24"/>
          <w:szCs w:val="24"/>
        </w:rPr>
        <w:t>lla povertà.</w:t>
      </w:r>
    </w:p>
    <w:p w:rsidR="00193190" w:rsidRPr="00193190" w:rsidRDefault="00193190" w:rsidP="00193190">
      <w:pPr>
        <w:pStyle w:val="Paragrafoelenco"/>
        <w:ind w:left="0"/>
        <w:rPr>
          <w:rFonts w:ascii="DecimaWE Rg" w:hAnsi="DecimaWE Rg"/>
          <w:sz w:val="24"/>
          <w:szCs w:val="24"/>
        </w:rPr>
      </w:pPr>
    </w:p>
    <w:sectPr w:rsidR="00193190" w:rsidRPr="00193190" w:rsidSect="006D0909">
      <w:footerReference w:type="even" r:id="rId8"/>
      <w:footerReference w:type="default" r:id="rId9"/>
      <w:pgSz w:w="11907" w:h="16839" w:code="9"/>
      <w:pgMar w:top="1417" w:right="1417" w:bottom="1417" w:left="1417"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0F4" w:rsidRDefault="00AB40F4" w:rsidP="00547109">
      <w:pPr>
        <w:spacing w:line="240" w:lineRule="auto"/>
      </w:pPr>
      <w:r>
        <w:separator/>
      </w:r>
    </w:p>
  </w:endnote>
  <w:endnote w:type="continuationSeparator" w:id="0">
    <w:p w:rsidR="00AB40F4" w:rsidRDefault="00AB40F4" w:rsidP="005471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DecimaWE Rg">
    <w:altName w:val="Times New Roman"/>
    <w:charset w:val="00"/>
    <w:family w:val="auto"/>
    <w:pitch w:val="variable"/>
    <w:sig w:usb0="00000001" w:usb1="5000205B" w:usb2="00000000" w:usb3="00000000" w:csb0="0000009B"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BD" w:rsidRDefault="00436816" w:rsidP="00E522C8">
    <w:pPr>
      <w:pStyle w:val="Pidipagina"/>
      <w:framePr w:wrap="around" w:vAnchor="text" w:hAnchor="margin" w:xAlign="center" w:y="1"/>
      <w:rPr>
        <w:rStyle w:val="Numeropagina"/>
      </w:rPr>
    </w:pPr>
    <w:r>
      <w:rPr>
        <w:rStyle w:val="Numeropagina"/>
      </w:rPr>
      <w:fldChar w:fldCharType="begin"/>
    </w:r>
    <w:r w:rsidR="00CB0CBD">
      <w:rPr>
        <w:rStyle w:val="Numeropagina"/>
      </w:rPr>
      <w:instrText xml:space="preserve">PAGE  </w:instrText>
    </w:r>
    <w:r>
      <w:rPr>
        <w:rStyle w:val="Numeropagina"/>
      </w:rPr>
      <w:fldChar w:fldCharType="end"/>
    </w:r>
  </w:p>
  <w:p w:rsidR="00CB0CBD" w:rsidRDefault="00CB0C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BD" w:rsidRDefault="00436816" w:rsidP="00E522C8">
    <w:pPr>
      <w:pStyle w:val="Pidipagina"/>
      <w:framePr w:wrap="around" w:vAnchor="text" w:hAnchor="margin" w:xAlign="center" w:y="1"/>
      <w:rPr>
        <w:rStyle w:val="Numeropagina"/>
      </w:rPr>
    </w:pPr>
    <w:r>
      <w:rPr>
        <w:rStyle w:val="Numeropagina"/>
      </w:rPr>
      <w:fldChar w:fldCharType="begin"/>
    </w:r>
    <w:r w:rsidR="00CB0CBD">
      <w:rPr>
        <w:rStyle w:val="Numeropagina"/>
      </w:rPr>
      <w:instrText xml:space="preserve">PAGE  </w:instrText>
    </w:r>
    <w:r>
      <w:rPr>
        <w:rStyle w:val="Numeropagina"/>
      </w:rPr>
      <w:fldChar w:fldCharType="separate"/>
    </w:r>
    <w:r w:rsidR="00F84E74">
      <w:rPr>
        <w:rStyle w:val="Numeropagina"/>
        <w:noProof/>
      </w:rPr>
      <w:t>1</w:t>
    </w:r>
    <w:r>
      <w:rPr>
        <w:rStyle w:val="Numeropagina"/>
      </w:rPr>
      <w:fldChar w:fldCharType="end"/>
    </w:r>
  </w:p>
  <w:p w:rsidR="00CB0CBD" w:rsidRDefault="00CB0CB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0F4" w:rsidRDefault="00AB40F4" w:rsidP="00547109">
      <w:pPr>
        <w:spacing w:line="240" w:lineRule="auto"/>
      </w:pPr>
      <w:r>
        <w:separator/>
      </w:r>
    </w:p>
  </w:footnote>
  <w:footnote w:type="continuationSeparator" w:id="0">
    <w:p w:rsidR="00AB40F4" w:rsidRDefault="00AB40F4" w:rsidP="0054710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7E9B"/>
    <w:multiLevelType w:val="hybridMultilevel"/>
    <w:tmpl w:val="B294515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5357296"/>
    <w:multiLevelType w:val="hybridMultilevel"/>
    <w:tmpl w:val="4D623EE8"/>
    <w:lvl w:ilvl="0" w:tplc="27402FBE">
      <w:start w:val="1"/>
      <w:numFmt w:val="bullet"/>
      <w:lvlText w:val="-"/>
      <w:lvlJc w:val="left"/>
      <w:pPr>
        <w:tabs>
          <w:tab w:val="num" w:pos="0"/>
        </w:tabs>
        <w:ind w:left="283" w:hanging="283"/>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17584F97"/>
    <w:multiLevelType w:val="hybridMultilevel"/>
    <w:tmpl w:val="268AF056"/>
    <w:lvl w:ilvl="0" w:tplc="EAF8CDBE">
      <w:start w:val="1"/>
      <w:numFmt w:val="upperRoman"/>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0D66A14"/>
    <w:multiLevelType w:val="hybridMultilevel"/>
    <w:tmpl w:val="DF9E67DA"/>
    <w:lvl w:ilvl="0" w:tplc="7CB845AA">
      <w:start w:val="1"/>
      <w:numFmt w:val="decimal"/>
      <w:lvlText w:val="%1."/>
      <w:lvlJc w:val="left"/>
      <w:pPr>
        <w:ind w:left="360" w:hanging="360"/>
      </w:pPr>
      <w:rPr>
        <w:rFonts w:ascii="Times New Roman" w:hAnsi="Times New Roman" w:cs="Times New Roman" w:hint="default"/>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A506C75"/>
    <w:multiLevelType w:val="hybridMultilevel"/>
    <w:tmpl w:val="439C22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5D0B49C8"/>
    <w:multiLevelType w:val="hybridMultilevel"/>
    <w:tmpl w:val="7BB429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025492E"/>
    <w:multiLevelType w:val="hybridMultilevel"/>
    <w:tmpl w:val="55866BEC"/>
    <w:lvl w:ilvl="0" w:tplc="3D72C41E">
      <w:start w:val="46"/>
      <w:numFmt w:val="decimal"/>
      <w:lvlText w:val="%1."/>
      <w:lvlJc w:val="left"/>
      <w:pPr>
        <w:ind w:left="360" w:hanging="360"/>
      </w:pPr>
      <w:rPr>
        <w:rFonts w:hint="default"/>
      </w:rPr>
    </w:lvl>
    <w:lvl w:ilvl="1" w:tplc="1B4A4F70">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6B311388"/>
    <w:multiLevelType w:val="hybridMultilevel"/>
    <w:tmpl w:val="DB14394C"/>
    <w:lvl w:ilvl="0" w:tplc="3D72C41E">
      <w:start w:val="46"/>
      <w:numFmt w:val="decimal"/>
      <w:lvlText w:val="%1."/>
      <w:lvlJc w:val="left"/>
      <w:pPr>
        <w:ind w:left="360" w:hanging="360"/>
      </w:pPr>
      <w:rPr>
        <w:rFonts w:hint="default"/>
      </w:rPr>
    </w:lvl>
    <w:lvl w:ilvl="1" w:tplc="832EEB1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76881833"/>
    <w:multiLevelType w:val="hybridMultilevel"/>
    <w:tmpl w:val="0812F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995AB4"/>
    <w:multiLevelType w:val="hybridMultilevel"/>
    <w:tmpl w:val="D940E518"/>
    <w:lvl w:ilvl="0" w:tplc="D6F058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EAA1190"/>
    <w:multiLevelType w:val="hybridMultilevel"/>
    <w:tmpl w:val="2FBCC924"/>
    <w:lvl w:ilvl="0" w:tplc="080C0001">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0"/>
  </w:num>
  <w:num w:numId="2">
    <w:abstractNumId w:val="3"/>
  </w:num>
  <w:num w:numId="3">
    <w:abstractNumId w:val="7"/>
  </w:num>
  <w:num w:numId="4">
    <w:abstractNumId w:val="6"/>
  </w:num>
  <w:num w:numId="5">
    <w:abstractNumId w:val="2"/>
  </w:num>
  <w:num w:numId="6">
    <w:abstractNumId w:val="8"/>
  </w:num>
  <w:num w:numId="7">
    <w:abstractNumId w:val="9"/>
  </w:num>
  <w:num w:numId="8">
    <w:abstractNumId w:val="0"/>
  </w:num>
  <w:num w:numId="9">
    <w:abstractNumId w:val="5"/>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6D0909"/>
    <w:rsid w:val="00043C59"/>
    <w:rsid w:val="000C3729"/>
    <w:rsid w:val="001044C5"/>
    <w:rsid w:val="00117EEF"/>
    <w:rsid w:val="001630EE"/>
    <w:rsid w:val="00193190"/>
    <w:rsid w:val="00260447"/>
    <w:rsid w:val="00402BD4"/>
    <w:rsid w:val="00436816"/>
    <w:rsid w:val="0051717D"/>
    <w:rsid w:val="00547109"/>
    <w:rsid w:val="0057699B"/>
    <w:rsid w:val="005A3508"/>
    <w:rsid w:val="005C774C"/>
    <w:rsid w:val="00667847"/>
    <w:rsid w:val="00673A33"/>
    <w:rsid w:val="006D0909"/>
    <w:rsid w:val="007354EB"/>
    <w:rsid w:val="00A17397"/>
    <w:rsid w:val="00A71CC9"/>
    <w:rsid w:val="00AB40F4"/>
    <w:rsid w:val="00B857D3"/>
    <w:rsid w:val="00BA1F5D"/>
    <w:rsid w:val="00C32125"/>
    <w:rsid w:val="00CB0CBD"/>
    <w:rsid w:val="00CD7811"/>
    <w:rsid w:val="00E33BE4"/>
    <w:rsid w:val="00E522C8"/>
    <w:rsid w:val="00E82CB4"/>
    <w:rsid w:val="00F24235"/>
    <w:rsid w:val="00F44C52"/>
    <w:rsid w:val="00F6791A"/>
    <w:rsid w:val="00F84E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909"/>
    <w:pPr>
      <w:overflowPunct w:val="0"/>
      <w:autoSpaceDE w:val="0"/>
      <w:autoSpaceDN w:val="0"/>
      <w:adjustRightInd w:val="0"/>
      <w:spacing w:line="288" w:lineRule="auto"/>
      <w:jc w:val="both"/>
      <w:textAlignment w:val="baseline"/>
    </w:pPr>
    <w:rPr>
      <w:rFonts w:ascii="Times New Roman" w:eastAsia="Times New Roman" w:hAnsi="Times New Roman" w:cs="Times New Roman"/>
      <w:sz w:val="22"/>
      <w:szCs w:val="20"/>
      <w:lang w:bidi="it-IT"/>
    </w:rPr>
  </w:style>
  <w:style w:type="paragraph" w:styleId="Titolo1">
    <w:name w:val="heading 1"/>
    <w:basedOn w:val="Normale"/>
    <w:link w:val="Titolo1Carattere"/>
    <w:uiPriority w:val="9"/>
    <w:qFormat/>
    <w:rsid w:val="006D0909"/>
    <w:pPr>
      <w:overflowPunct/>
      <w:autoSpaceDE/>
      <w:autoSpaceDN/>
      <w:adjustRightInd/>
      <w:spacing w:before="100" w:beforeAutospacing="1" w:after="100" w:afterAutospacing="1" w:line="240" w:lineRule="auto"/>
      <w:jc w:val="left"/>
      <w:textAlignment w:val="auto"/>
      <w:outlineLvl w:val="0"/>
    </w:pPr>
    <w:rPr>
      <w:rFonts w:ascii="Times" w:eastAsiaTheme="minorEastAsia" w:hAnsi="Times" w:cstheme="minorBidi"/>
      <w:b/>
      <w:bCs/>
      <w:kern w:val="36"/>
      <w:sz w:val="48"/>
      <w:szCs w:val="48"/>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6D0909"/>
  </w:style>
  <w:style w:type="character" w:customStyle="1" w:styleId="PidipaginaCarattere">
    <w:name w:val="Piè di pagina Carattere"/>
    <w:basedOn w:val="Carpredefinitoparagrafo"/>
    <w:link w:val="Pidipagina"/>
    <w:rsid w:val="006D0909"/>
    <w:rPr>
      <w:rFonts w:ascii="Times New Roman" w:eastAsia="Times New Roman" w:hAnsi="Times New Roman" w:cs="Times New Roman"/>
      <w:sz w:val="22"/>
      <w:szCs w:val="20"/>
      <w:lang w:bidi="it-IT"/>
    </w:rPr>
  </w:style>
  <w:style w:type="paragraph" w:styleId="Intestazione">
    <w:name w:val="header"/>
    <w:basedOn w:val="Normale"/>
    <w:link w:val="IntestazioneCarattere"/>
    <w:rsid w:val="006D0909"/>
  </w:style>
  <w:style w:type="character" w:customStyle="1" w:styleId="IntestazioneCarattere">
    <w:name w:val="Intestazione Carattere"/>
    <w:basedOn w:val="Carpredefinitoparagrafo"/>
    <w:link w:val="Intestazione"/>
    <w:rsid w:val="006D0909"/>
    <w:rPr>
      <w:rFonts w:ascii="Times New Roman" w:eastAsia="Times New Roman" w:hAnsi="Times New Roman" w:cs="Times New Roman"/>
      <w:sz w:val="22"/>
      <w:szCs w:val="20"/>
      <w:lang w:bidi="it-IT"/>
    </w:rPr>
  </w:style>
  <w:style w:type="character" w:styleId="Collegamentoipertestuale">
    <w:name w:val="Hyperlink"/>
    <w:basedOn w:val="Carpredefinitoparagrafo"/>
    <w:uiPriority w:val="99"/>
    <w:rsid w:val="006D0909"/>
    <w:rPr>
      <w:color w:val="0000FF"/>
      <w:u w:val="single"/>
    </w:rPr>
  </w:style>
  <w:style w:type="paragraph" w:styleId="Paragrafoelenco">
    <w:name w:val="List Paragraph"/>
    <w:basedOn w:val="Normale"/>
    <w:uiPriority w:val="34"/>
    <w:qFormat/>
    <w:rsid w:val="006D0909"/>
    <w:pPr>
      <w:ind w:left="720"/>
      <w:contextualSpacing/>
    </w:pPr>
  </w:style>
  <w:style w:type="paragraph" w:styleId="Testofumetto">
    <w:name w:val="Balloon Text"/>
    <w:basedOn w:val="Normale"/>
    <w:link w:val="TestofumettoCarattere"/>
    <w:uiPriority w:val="99"/>
    <w:semiHidden/>
    <w:unhideWhenUsed/>
    <w:rsid w:val="006D0909"/>
    <w:pPr>
      <w:spacing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6D0909"/>
    <w:rPr>
      <w:rFonts w:ascii="Lucida Grande" w:eastAsia="Times New Roman" w:hAnsi="Lucida Grande" w:cs="Times New Roman"/>
      <w:sz w:val="18"/>
      <w:szCs w:val="18"/>
      <w:lang w:bidi="it-IT"/>
    </w:rPr>
  </w:style>
  <w:style w:type="character" w:customStyle="1" w:styleId="Titolo1Carattere">
    <w:name w:val="Titolo 1 Carattere"/>
    <w:basedOn w:val="Carpredefinitoparagrafo"/>
    <w:link w:val="Titolo1"/>
    <w:uiPriority w:val="9"/>
    <w:rsid w:val="006D0909"/>
    <w:rPr>
      <w:rFonts w:ascii="Times" w:hAnsi="Times"/>
      <w:b/>
      <w:bCs/>
      <w:kern w:val="36"/>
      <w:sz w:val="48"/>
      <w:szCs w:val="48"/>
    </w:rPr>
  </w:style>
  <w:style w:type="paragraph" w:styleId="NormaleWeb">
    <w:name w:val="Normal (Web)"/>
    <w:basedOn w:val="Normale"/>
    <w:uiPriority w:val="99"/>
    <w:semiHidden/>
    <w:unhideWhenUsed/>
    <w:rsid w:val="006D0909"/>
    <w:pPr>
      <w:overflowPunct/>
      <w:autoSpaceDE/>
      <w:autoSpaceDN/>
      <w:adjustRightInd/>
      <w:spacing w:before="100" w:beforeAutospacing="1" w:after="100" w:afterAutospacing="1" w:line="240" w:lineRule="auto"/>
      <w:jc w:val="left"/>
      <w:textAlignment w:val="auto"/>
    </w:pPr>
    <w:rPr>
      <w:rFonts w:ascii="Times" w:eastAsiaTheme="minorEastAsia" w:hAnsi="Times"/>
      <w:sz w:val="20"/>
      <w:lang w:bidi="ar-SA"/>
    </w:rPr>
  </w:style>
  <w:style w:type="character" w:styleId="Numeropagina">
    <w:name w:val="page number"/>
    <w:basedOn w:val="Carpredefinitoparagrafo"/>
    <w:uiPriority w:val="99"/>
    <w:semiHidden/>
    <w:unhideWhenUsed/>
    <w:rsid w:val="00A71CC9"/>
  </w:style>
</w:styles>
</file>

<file path=word/webSettings.xml><?xml version="1.0" encoding="utf-8"?>
<w:webSettings xmlns:r="http://schemas.openxmlformats.org/officeDocument/2006/relationships" xmlns:w="http://schemas.openxmlformats.org/wordprocessingml/2006/main">
  <w:divs>
    <w:div w:id="85612890">
      <w:bodyDiv w:val="1"/>
      <w:marLeft w:val="0"/>
      <w:marRight w:val="0"/>
      <w:marTop w:val="0"/>
      <w:marBottom w:val="0"/>
      <w:divBdr>
        <w:top w:val="none" w:sz="0" w:space="0" w:color="auto"/>
        <w:left w:val="none" w:sz="0" w:space="0" w:color="auto"/>
        <w:bottom w:val="none" w:sz="0" w:space="0" w:color="auto"/>
        <w:right w:val="none" w:sz="0" w:space="0" w:color="auto"/>
      </w:divBdr>
    </w:div>
    <w:div w:id="1255896513">
      <w:bodyDiv w:val="1"/>
      <w:marLeft w:val="0"/>
      <w:marRight w:val="0"/>
      <w:marTop w:val="0"/>
      <w:marBottom w:val="0"/>
      <w:divBdr>
        <w:top w:val="none" w:sz="0" w:space="0" w:color="auto"/>
        <w:left w:val="none" w:sz="0" w:space="0" w:color="auto"/>
        <w:bottom w:val="none" w:sz="0" w:space="0" w:color="auto"/>
        <w:right w:val="none" w:sz="0" w:space="0" w:color="auto"/>
      </w:divBdr>
    </w:div>
    <w:div w:id="1510440240">
      <w:bodyDiv w:val="1"/>
      <w:marLeft w:val="0"/>
      <w:marRight w:val="0"/>
      <w:marTop w:val="0"/>
      <w:marBottom w:val="0"/>
      <w:divBdr>
        <w:top w:val="none" w:sz="0" w:space="0" w:color="auto"/>
        <w:left w:val="none" w:sz="0" w:space="0" w:color="auto"/>
        <w:bottom w:val="none" w:sz="0" w:space="0" w:color="auto"/>
        <w:right w:val="none" w:sz="0" w:space="0" w:color="auto"/>
      </w:divBdr>
      <w:divsChild>
        <w:div w:id="1207568550">
          <w:marLeft w:val="0"/>
          <w:marRight w:val="0"/>
          <w:marTop w:val="0"/>
          <w:marBottom w:val="0"/>
          <w:divBdr>
            <w:top w:val="none" w:sz="0" w:space="0" w:color="auto"/>
            <w:left w:val="none" w:sz="0" w:space="0" w:color="auto"/>
            <w:bottom w:val="none" w:sz="0" w:space="0" w:color="auto"/>
            <w:right w:val="none" w:sz="0" w:space="0" w:color="auto"/>
          </w:divBdr>
        </w:div>
      </w:divsChild>
    </w:div>
    <w:div w:id="1725711873">
      <w:bodyDiv w:val="1"/>
      <w:marLeft w:val="0"/>
      <w:marRight w:val="0"/>
      <w:marTop w:val="0"/>
      <w:marBottom w:val="0"/>
      <w:divBdr>
        <w:top w:val="none" w:sz="0" w:space="0" w:color="auto"/>
        <w:left w:val="none" w:sz="0" w:space="0" w:color="auto"/>
        <w:bottom w:val="none" w:sz="0" w:space="0" w:color="auto"/>
        <w:right w:val="none" w:sz="0" w:space="0" w:color="auto"/>
      </w:divBdr>
    </w:div>
    <w:div w:id="1894609874">
      <w:bodyDiv w:val="1"/>
      <w:marLeft w:val="0"/>
      <w:marRight w:val="0"/>
      <w:marTop w:val="0"/>
      <w:marBottom w:val="0"/>
      <w:divBdr>
        <w:top w:val="none" w:sz="0" w:space="0" w:color="auto"/>
        <w:left w:val="none" w:sz="0" w:space="0" w:color="auto"/>
        <w:bottom w:val="none" w:sz="0" w:space="0" w:color="auto"/>
        <w:right w:val="none" w:sz="0" w:space="0" w:color="auto"/>
      </w:divBdr>
      <w:divsChild>
        <w:div w:id="697777609">
          <w:marLeft w:val="0"/>
          <w:marRight w:val="0"/>
          <w:marTop w:val="0"/>
          <w:marBottom w:val="0"/>
          <w:divBdr>
            <w:top w:val="none" w:sz="0" w:space="0" w:color="auto"/>
            <w:left w:val="none" w:sz="0" w:space="0" w:color="auto"/>
            <w:bottom w:val="none" w:sz="0" w:space="0" w:color="auto"/>
            <w:right w:val="none" w:sz="0" w:space="0" w:color="auto"/>
          </w:divBdr>
        </w:div>
      </w:divsChild>
    </w:div>
    <w:div w:id="1983533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org/sustainable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dcterms:created xsi:type="dcterms:W3CDTF">2018-07-16T08:07:00Z</dcterms:created>
  <dcterms:modified xsi:type="dcterms:W3CDTF">2018-07-16T08:07:00Z</dcterms:modified>
</cp:coreProperties>
</file>